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B4F" w:rsidRDefault="001E6B8E">
      <w:pPr>
        <w:pStyle w:val="11"/>
        <w:spacing w:before="0" w:after="0" w:line="560" w:lineRule="exact"/>
        <w:jc w:val="center"/>
        <w:rPr>
          <w:rFonts w:ascii="方正小标宋简体" w:eastAsia="方正小标宋简体" w:hAnsi="华文中宋" w:cs="Times New Roman"/>
          <w:sz w:val="44"/>
          <w:szCs w:val="36"/>
        </w:rPr>
      </w:pPr>
      <w:bookmarkStart w:id="0" w:name="_Toc193214754"/>
      <w:r>
        <w:rPr>
          <w:rFonts w:ascii="方正小标宋简体" w:eastAsia="方正小标宋简体" w:hAnsi="华文中宋" w:cs="Times New Roman" w:hint="eastAsia"/>
          <w:sz w:val="44"/>
          <w:szCs w:val="36"/>
        </w:rPr>
        <w:t>流溪河国家森林公园总体规划修编项目</w:t>
      </w:r>
    </w:p>
    <w:p w:rsidR="00251A94" w:rsidRDefault="00C864CF">
      <w:pPr>
        <w:pStyle w:val="11"/>
        <w:spacing w:before="0" w:after="0" w:line="560" w:lineRule="exact"/>
        <w:jc w:val="center"/>
        <w:rPr>
          <w:rFonts w:ascii="方正小标宋简体" w:eastAsia="方正小标宋简体" w:hAnsi="华文中宋" w:cs="Times New Roman"/>
          <w:sz w:val="44"/>
          <w:szCs w:val="36"/>
        </w:rPr>
      </w:pPr>
      <w:r>
        <w:rPr>
          <w:rFonts w:ascii="方正小标宋简体" w:eastAsia="方正小标宋简体" w:hAnsi="华文中宋" w:cs="Times New Roman" w:hint="eastAsia"/>
          <w:sz w:val="44"/>
          <w:szCs w:val="36"/>
        </w:rPr>
        <w:t>采购需求</w:t>
      </w:r>
    </w:p>
    <w:p w:rsidR="00251A94" w:rsidRDefault="001E6B8E">
      <w:pPr>
        <w:pStyle w:val="11"/>
        <w:spacing w:before="0" w:after="0" w:line="560" w:lineRule="exact"/>
        <w:ind w:firstLineChars="200" w:firstLine="640"/>
        <w:rPr>
          <w:rFonts w:hAnsi="华文中宋" w:cs="Times New Roman"/>
          <w:sz w:val="32"/>
          <w:szCs w:val="36"/>
        </w:rPr>
      </w:pPr>
      <w:r>
        <w:rPr>
          <w:rFonts w:hAnsi="华文中宋" w:cs="Times New Roman" w:hint="eastAsia"/>
          <w:sz w:val="32"/>
          <w:szCs w:val="36"/>
        </w:rPr>
        <w:t>一、基本情况</w:t>
      </w:r>
    </w:p>
    <w:p w:rsidR="00251A94" w:rsidRDefault="001E6B8E">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广州市流溪河国家森林公园管理处(流溪河林场)位于广州市从化区北部东经113°45'至113°54'，北纬23°32'至23°50'。东邻吕田镇，</w:t>
      </w:r>
      <w:proofErr w:type="gramStart"/>
      <w:r>
        <w:rPr>
          <w:rFonts w:ascii="仿宋_GB2312" w:eastAsia="仿宋_GB2312" w:hAnsi="仿宋" w:hint="eastAsia"/>
          <w:bCs/>
          <w:sz w:val="32"/>
          <w:szCs w:val="32"/>
        </w:rPr>
        <w:t>南接良口</w:t>
      </w:r>
      <w:proofErr w:type="gramEnd"/>
      <w:r>
        <w:rPr>
          <w:rFonts w:ascii="仿宋_GB2312" w:eastAsia="仿宋_GB2312" w:hAnsi="仿宋" w:hint="eastAsia"/>
          <w:bCs/>
          <w:sz w:val="32"/>
          <w:szCs w:val="32"/>
        </w:rPr>
        <w:t>镇，西连黄龙带水库，北与东明接壤。全场总面积89.32平方公里，截至2016年末，全场总人口5885人。林场境内地势自东南向西北倾斜，山峦起伏，陡峭密集，五指山群峰海拔均在1000米以上，最高峰鸡枕山海拔1146.7米，大型水库流溪河水库位于林场中部，面积2.2万亩，有效库容2.39亿立方米，是广州市饮用水的主要来源之一。</w:t>
      </w:r>
    </w:p>
    <w:p w:rsidR="00251A94" w:rsidRDefault="001E6B8E">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流溪河国家森林公园管理处(流溪河林场)的业务范围是承担本辖区水源林培育、开发及保护工作。但实际上林场既承担了水库水源涵养林的保护、森林旅游事业的发展以及所属工区、企业的经营和管理，同时还承担政府行政管理、国有资产管理的职能，且林区群众的生活、就业及国土、民政、残联、医疗、教育治安、征兵、计划生育、农村管理等大量社会性事务也由林场承担，工作量较大，涉及事务繁多。</w:t>
      </w:r>
    </w:p>
    <w:p w:rsidR="00251A94" w:rsidRDefault="001E6B8E">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原《广东流溪河国家森林公园总体规划（修编）（2017-2026年）》主要围绕林场的自然资源进行生态保扩及旅游发展，对景区景点的策划建设、资源与环境保护、旅游服务设施等方面做了详细的规划，对林区生态保护、建设规划等方面具有指导意义。随着流溪河林场近年来的建设与</w:t>
      </w:r>
      <w:r>
        <w:rPr>
          <w:rFonts w:ascii="仿宋_GB2312" w:eastAsia="仿宋_GB2312" w:hAnsi="仿宋" w:hint="eastAsia"/>
          <w:bCs/>
          <w:sz w:val="32"/>
          <w:szCs w:val="32"/>
        </w:rPr>
        <w:lastRenderedPageBreak/>
        <w:t>发展，在新一轮《广州市国土空间总体规划（2021—2035年）》、《广州市从化区国土空间总体规划（2021—2035年）》的背景下，在广东省全面推进“百县千镇万村高质量发展工程”、广东省委大力推进环南昆山—罗浮山县镇村高质量发展</w:t>
      </w:r>
      <w:proofErr w:type="gramStart"/>
      <w:r>
        <w:rPr>
          <w:rFonts w:ascii="仿宋_GB2312" w:eastAsia="仿宋_GB2312" w:hAnsi="仿宋" w:hint="eastAsia"/>
          <w:bCs/>
          <w:sz w:val="32"/>
          <w:szCs w:val="32"/>
        </w:rPr>
        <w:t>引领区</w:t>
      </w:r>
      <w:proofErr w:type="gramEnd"/>
      <w:r>
        <w:rPr>
          <w:rFonts w:ascii="仿宋_GB2312" w:eastAsia="仿宋_GB2312" w:hAnsi="仿宋" w:hint="eastAsia"/>
          <w:bCs/>
          <w:sz w:val="32"/>
          <w:szCs w:val="32"/>
        </w:rPr>
        <w:t>建设的契机下，结合流溪河国家森林公园推进创建国家级4A景区的发展和建设需求，为确保流溪河国家森林公园管理处(流溪河林场)下一阶段的经济建设与资源保护，亟需进行新一轮的规划调整。</w:t>
      </w:r>
    </w:p>
    <w:p w:rsidR="00251A94" w:rsidRDefault="001E6B8E">
      <w:pPr>
        <w:pStyle w:val="11"/>
        <w:spacing w:before="0" w:after="0" w:line="560" w:lineRule="exact"/>
        <w:ind w:firstLineChars="200" w:firstLine="640"/>
        <w:rPr>
          <w:rFonts w:hAnsi="华文中宋" w:cs="Times New Roman"/>
          <w:sz w:val="32"/>
          <w:szCs w:val="36"/>
        </w:rPr>
      </w:pPr>
      <w:r>
        <w:rPr>
          <w:rFonts w:hAnsi="华文中宋" w:cs="Times New Roman" w:hint="eastAsia"/>
          <w:sz w:val="32"/>
          <w:szCs w:val="36"/>
        </w:rPr>
        <w:t>二、规划范围</w:t>
      </w:r>
      <w:bookmarkEnd w:id="0"/>
    </w:p>
    <w:p w:rsidR="00251A94" w:rsidRDefault="001E6B8E">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在《广东流溪河国家森林公园总体规划</w:t>
      </w:r>
      <w:r>
        <w:rPr>
          <w:rFonts w:ascii="仿宋_GB2312" w:eastAsia="仿宋_GB2312" w:hAnsi="仿宋"/>
          <w:bCs/>
          <w:sz w:val="32"/>
          <w:szCs w:val="32"/>
        </w:rPr>
        <w:t>(修编)(2017-2026年)</w:t>
      </w:r>
      <w:r>
        <w:rPr>
          <w:rFonts w:ascii="仿宋_GB2312" w:eastAsia="仿宋_GB2312" w:hAnsi="仿宋" w:hint="eastAsia"/>
          <w:bCs/>
          <w:sz w:val="32"/>
          <w:szCs w:val="32"/>
        </w:rPr>
        <w:t>》的</w:t>
      </w:r>
      <w:r>
        <w:rPr>
          <w:rFonts w:ascii="仿宋_GB2312" w:eastAsia="仿宋_GB2312" w:hAnsi="仿宋"/>
          <w:bCs/>
          <w:sz w:val="32"/>
          <w:szCs w:val="32"/>
        </w:rPr>
        <w:t>流溪河国家森林公园范围</w:t>
      </w:r>
      <w:r>
        <w:rPr>
          <w:rFonts w:ascii="仿宋_GB2312" w:eastAsia="仿宋_GB2312" w:hAnsi="仿宋" w:hint="eastAsia"/>
          <w:bCs/>
          <w:sz w:val="32"/>
          <w:szCs w:val="32"/>
        </w:rPr>
        <w:t>（</w:t>
      </w:r>
      <w:r>
        <w:rPr>
          <w:rFonts w:ascii="仿宋_GB2312" w:eastAsia="仿宋_GB2312" w:hAnsi="仿宋"/>
          <w:bCs/>
          <w:sz w:val="32"/>
          <w:szCs w:val="32"/>
        </w:rPr>
        <w:t>89.32</w:t>
      </w:r>
      <w:r>
        <w:rPr>
          <w:rFonts w:ascii="仿宋_GB2312" w:eastAsia="仿宋_GB2312" w:hAnsi="仿宋" w:hint="eastAsia"/>
          <w:bCs/>
          <w:sz w:val="32"/>
          <w:szCs w:val="32"/>
        </w:rPr>
        <w:t>平方公里）的</w:t>
      </w:r>
      <w:r>
        <w:rPr>
          <w:rFonts w:ascii="仿宋_GB2312" w:eastAsia="仿宋_GB2312" w:hAnsi="仿宋"/>
          <w:bCs/>
          <w:sz w:val="32"/>
          <w:szCs w:val="32"/>
        </w:rPr>
        <w:t>基础上，</w:t>
      </w:r>
      <w:r>
        <w:rPr>
          <w:rFonts w:ascii="仿宋_GB2312" w:eastAsia="仿宋_GB2312" w:hAnsi="仿宋" w:hint="eastAsia"/>
          <w:bCs/>
          <w:sz w:val="32"/>
          <w:szCs w:val="32"/>
        </w:rPr>
        <w:t>考虑</w:t>
      </w:r>
      <w:proofErr w:type="gramStart"/>
      <w:r>
        <w:rPr>
          <w:rFonts w:ascii="仿宋_GB2312" w:eastAsia="仿宋_GB2312" w:hAnsi="仿宋" w:hint="eastAsia"/>
          <w:bCs/>
          <w:sz w:val="32"/>
          <w:szCs w:val="32"/>
        </w:rPr>
        <w:t>到谷星村</w:t>
      </w:r>
      <w:proofErr w:type="gramEnd"/>
      <w:r>
        <w:rPr>
          <w:rFonts w:ascii="仿宋_GB2312" w:eastAsia="仿宋_GB2312" w:hAnsi="仿宋" w:hint="eastAsia"/>
          <w:bCs/>
          <w:sz w:val="32"/>
          <w:szCs w:val="32"/>
        </w:rPr>
        <w:t>、东星村、温塘肚村三个行政村与林场的空间、生态、经济、社会联系较弱，较为独立，在剔除三村行政边界并整理删除细碎用地斑块的基础上确定本次规划范围，</w:t>
      </w:r>
      <w:r>
        <w:rPr>
          <w:rFonts w:ascii="仿宋_GB2312" w:eastAsia="仿宋_GB2312" w:hAnsi="仿宋"/>
          <w:bCs/>
          <w:sz w:val="32"/>
          <w:szCs w:val="32"/>
        </w:rPr>
        <w:t>面积为68.44</w:t>
      </w:r>
      <w:r>
        <w:rPr>
          <w:rFonts w:ascii="仿宋_GB2312" w:eastAsia="仿宋_GB2312" w:hAnsi="仿宋" w:hint="eastAsia"/>
          <w:bCs/>
          <w:sz w:val="32"/>
          <w:szCs w:val="32"/>
        </w:rPr>
        <w:t>平方公里。</w:t>
      </w:r>
    </w:p>
    <w:p w:rsidR="00251A94" w:rsidRDefault="001E6B8E">
      <w:pPr>
        <w:adjustRightInd w:val="0"/>
        <w:snapToGrid w:val="0"/>
        <w:spacing w:line="336" w:lineRule="auto"/>
        <w:jc w:val="center"/>
        <w:rPr>
          <w:rFonts w:ascii="仿宋" w:eastAsia="仿宋" w:hAnsi="仿宋"/>
          <w:bCs/>
          <w:sz w:val="28"/>
          <w:szCs w:val="28"/>
        </w:rPr>
      </w:pPr>
      <w:r>
        <w:rPr>
          <w:noProof/>
        </w:rPr>
        <w:lastRenderedPageBreak/>
        <w:drawing>
          <wp:inline distT="0" distB="0" distL="0" distR="0">
            <wp:extent cx="5274310" cy="5250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5250180"/>
                    </a:xfrm>
                    <a:prstGeom prst="rect">
                      <a:avLst/>
                    </a:prstGeom>
                  </pic:spPr>
                </pic:pic>
              </a:graphicData>
            </a:graphic>
          </wp:inline>
        </w:drawing>
      </w:r>
    </w:p>
    <w:p w:rsidR="00251A94" w:rsidRDefault="001E6B8E">
      <w:pPr>
        <w:adjustRightInd w:val="0"/>
        <w:snapToGrid w:val="0"/>
        <w:spacing w:line="336" w:lineRule="auto"/>
        <w:jc w:val="center"/>
        <w:rPr>
          <w:rFonts w:ascii="仿宋" w:eastAsia="仿宋" w:hAnsi="仿宋"/>
          <w:bCs/>
          <w:sz w:val="28"/>
          <w:szCs w:val="28"/>
        </w:rPr>
      </w:pPr>
      <w:r>
        <w:rPr>
          <w:rFonts w:ascii="仿宋" w:eastAsia="仿宋" w:hAnsi="仿宋" w:hint="eastAsia"/>
          <w:bCs/>
          <w:sz w:val="28"/>
          <w:szCs w:val="28"/>
        </w:rPr>
        <w:t>规划范围示意图</w:t>
      </w:r>
    </w:p>
    <w:p w:rsidR="00251A94" w:rsidRDefault="001E6B8E">
      <w:pPr>
        <w:pStyle w:val="11"/>
        <w:spacing w:before="0" w:after="0" w:line="560" w:lineRule="exact"/>
        <w:ind w:firstLineChars="200" w:firstLine="640"/>
        <w:rPr>
          <w:rFonts w:hAnsi="华文中宋" w:cs="Times New Roman"/>
          <w:sz w:val="32"/>
          <w:szCs w:val="36"/>
        </w:rPr>
      </w:pPr>
      <w:bookmarkStart w:id="1" w:name="_Toc193214755"/>
      <w:r>
        <w:rPr>
          <w:rFonts w:hAnsi="华文中宋" w:cs="Times New Roman" w:hint="eastAsia"/>
          <w:sz w:val="32"/>
          <w:szCs w:val="36"/>
        </w:rPr>
        <w:t>三、规划期限</w:t>
      </w:r>
    </w:p>
    <w:p w:rsidR="00251A94" w:rsidRDefault="001E6B8E">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本次规划期限为</w:t>
      </w:r>
      <w:r>
        <w:rPr>
          <w:rFonts w:ascii="仿宋_GB2312" w:eastAsia="仿宋_GB2312" w:hAnsi="仿宋"/>
          <w:bCs/>
          <w:sz w:val="32"/>
          <w:szCs w:val="32"/>
        </w:rPr>
        <w:t>202</w:t>
      </w:r>
      <w:r w:rsidR="00C963E6">
        <w:rPr>
          <w:rFonts w:ascii="仿宋_GB2312" w:hAnsi="仿宋" w:hint="eastAsia"/>
          <w:bCs/>
          <w:sz w:val="32"/>
          <w:szCs w:val="32"/>
        </w:rPr>
        <w:t>6</w:t>
      </w:r>
      <w:r>
        <w:rPr>
          <w:rFonts w:ascii="仿宋_GB2312" w:eastAsia="仿宋_GB2312" w:hAnsi="仿宋"/>
          <w:bCs/>
          <w:sz w:val="32"/>
          <w:szCs w:val="32"/>
        </w:rPr>
        <w:t>-2035年。</w:t>
      </w:r>
    </w:p>
    <w:p w:rsidR="00251A94" w:rsidRDefault="001E6B8E">
      <w:pPr>
        <w:pStyle w:val="11"/>
        <w:spacing w:before="0" w:after="0" w:line="560" w:lineRule="exact"/>
        <w:ind w:firstLineChars="200" w:firstLine="640"/>
        <w:rPr>
          <w:rFonts w:hAnsi="华文中宋" w:cs="Times New Roman"/>
          <w:sz w:val="32"/>
          <w:szCs w:val="36"/>
        </w:rPr>
      </w:pPr>
      <w:r>
        <w:rPr>
          <w:rFonts w:hAnsi="华文中宋" w:cs="Times New Roman" w:hint="eastAsia"/>
          <w:sz w:val="32"/>
          <w:szCs w:val="36"/>
        </w:rPr>
        <w:t>四、规划依据</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《中华人民共和国城乡规划法》（</w:t>
      </w:r>
      <w:r>
        <w:rPr>
          <w:rFonts w:ascii="仿宋_GB2312" w:eastAsia="仿宋_GB2312" w:hAnsi="仿宋"/>
          <w:bCs/>
          <w:sz w:val="32"/>
          <w:szCs w:val="32"/>
        </w:rPr>
        <w:t>2019年修正）</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《中华人民共和国土地管理法》（</w:t>
      </w:r>
      <w:r>
        <w:rPr>
          <w:rFonts w:ascii="仿宋_GB2312" w:eastAsia="仿宋_GB2312" w:hAnsi="仿宋"/>
          <w:bCs/>
          <w:sz w:val="32"/>
          <w:szCs w:val="32"/>
        </w:rPr>
        <w:t>2019年修正）</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《中华人民共和国森林法》（</w:t>
      </w:r>
      <w:r>
        <w:rPr>
          <w:rFonts w:ascii="仿宋_GB2312" w:eastAsia="仿宋_GB2312" w:hAnsi="仿宋"/>
          <w:bCs/>
          <w:sz w:val="32"/>
          <w:szCs w:val="32"/>
        </w:rPr>
        <w:t>2019年修正）</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《中华人民共和国环境保护法》（</w:t>
      </w:r>
      <w:r>
        <w:rPr>
          <w:rFonts w:ascii="仿宋_GB2312" w:eastAsia="仿宋_GB2312" w:hAnsi="仿宋"/>
          <w:bCs/>
          <w:sz w:val="32"/>
          <w:szCs w:val="32"/>
        </w:rPr>
        <w:t>2014年修正）</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《中华人民共和国野生动物保护法》（</w:t>
      </w:r>
      <w:r>
        <w:rPr>
          <w:rFonts w:ascii="仿宋_GB2312" w:eastAsia="仿宋_GB2312" w:hAnsi="仿宋"/>
          <w:bCs/>
          <w:sz w:val="32"/>
          <w:szCs w:val="32"/>
        </w:rPr>
        <w:t>2018年修正）</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lastRenderedPageBreak/>
        <w:t>《中华人民共和国水法》（2016年修订）</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《国家级森林公园总体规划审批管理办法》（</w:t>
      </w:r>
      <w:r>
        <w:rPr>
          <w:rFonts w:ascii="仿宋_GB2312" w:eastAsia="仿宋_GB2312" w:hAnsi="仿宋"/>
          <w:bCs/>
          <w:sz w:val="32"/>
          <w:szCs w:val="32"/>
        </w:rPr>
        <w:t>2019</w:t>
      </w:r>
      <w:r>
        <w:rPr>
          <w:rFonts w:ascii="仿宋_GB2312" w:eastAsia="仿宋_GB2312" w:hAnsi="仿宋" w:hint="eastAsia"/>
          <w:bCs/>
          <w:sz w:val="32"/>
          <w:szCs w:val="32"/>
        </w:rPr>
        <w:t>年修订</w:t>
      </w:r>
      <w:r>
        <w:rPr>
          <w:rFonts w:ascii="仿宋_GB2312" w:eastAsia="仿宋_GB2312" w:hAnsi="仿宋"/>
          <w:bCs/>
          <w:sz w:val="32"/>
          <w:szCs w:val="32"/>
        </w:rPr>
        <w:t>）</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《国家公园总体规划技术规范》（</w:t>
      </w:r>
      <w:r>
        <w:rPr>
          <w:rFonts w:ascii="仿宋_GB2312" w:eastAsia="仿宋_GB2312" w:hAnsi="仿宋"/>
          <w:bCs/>
          <w:sz w:val="32"/>
          <w:szCs w:val="32"/>
        </w:rPr>
        <w:t>LY/T 3188-2020）</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《中国森林公园风景资源等级评定》</w:t>
      </w:r>
      <w:r>
        <w:rPr>
          <w:rFonts w:ascii="仿宋_GB2312" w:eastAsia="仿宋_GB2312" w:hAnsi="仿宋"/>
          <w:bCs/>
          <w:sz w:val="32"/>
          <w:szCs w:val="32"/>
        </w:rPr>
        <w:t>(GB／T18005－1999)</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《森林公园管理办法》（20</w:t>
      </w:r>
      <w:r>
        <w:rPr>
          <w:rFonts w:ascii="仿宋_GB2312" w:eastAsia="仿宋_GB2312" w:hAnsi="仿宋"/>
          <w:bCs/>
          <w:sz w:val="32"/>
          <w:szCs w:val="32"/>
        </w:rPr>
        <w:t>16</w:t>
      </w:r>
      <w:r>
        <w:rPr>
          <w:rFonts w:ascii="仿宋_GB2312" w:eastAsia="仿宋_GB2312" w:hAnsi="仿宋" w:hint="eastAsia"/>
          <w:bCs/>
          <w:sz w:val="32"/>
          <w:szCs w:val="32"/>
        </w:rPr>
        <w:t>年修订）</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《广东省城乡规划条例》（</w:t>
      </w:r>
      <w:r>
        <w:rPr>
          <w:rFonts w:ascii="仿宋_GB2312" w:eastAsia="仿宋_GB2312" w:hAnsi="仿宋"/>
          <w:bCs/>
          <w:sz w:val="32"/>
          <w:szCs w:val="32"/>
        </w:rPr>
        <w:t>2012）</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《城市用地分类与规划建设标准》（</w:t>
      </w:r>
      <w:r>
        <w:rPr>
          <w:rFonts w:ascii="仿宋_GB2312" w:eastAsia="仿宋_GB2312" w:hAnsi="仿宋"/>
          <w:bCs/>
          <w:sz w:val="32"/>
          <w:szCs w:val="32"/>
        </w:rPr>
        <w:t>GB50137-2011）</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《城市综合交通体系规划标准》（</w:t>
      </w:r>
      <w:r>
        <w:rPr>
          <w:rFonts w:ascii="仿宋_GB2312" w:eastAsia="仿宋_GB2312" w:hAnsi="仿宋"/>
          <w:bCs/>
          <w:sz w:val="32"/>
          <w:szCs w:val="32"/>
        </w:rPr>
        <w:t>GB/T51328-2018）</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《休闲露营地建设与服务规范》（</w:t>
      </w:r>
      <w:r>
        <w:rPr>
          <w:rFonts w:ascii="仿宋_GB2312" w:eastAsia="仿宋_GB2312" w:hAnsi="仿宋"/>
          <w:bCs/>
          <w:sz w:val="32"/>
          <w:szCs w:val="32"/>
        </w:rPr>
        <w:t>GB/T31710-2015）</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《广州市城乡规划技术规定》（</w:t>
      </w:r>
      <w:r>
        <w:rPr>
          <w:rFonts w:ascii="仿宋_GB2312" w:eastAsia="仿宋_GB2312" w:hAnsi="仿宋"/>
          <w:bCs/>
          <w:sz w:val="32"/>
          <w:szCs w:val="32"/>
        </w:rPr>
        <w:t>2019年修改，广州市人民政府令第168号）</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《中共广东省委关于实施“百县千镇万村高质量发展工程”促进城乡区域协调发展的决定》（20</w:t>
      </w:r>
      <w:r>
        <w:rPr>
          <w:rFonts w:ascii="仿宋_GB2312" w:eastAsia="仿宋_GB2312" w:hAnsi="仿宋"/>
          <w:bCs/>
          <w:sz w:val="32"/>
          <w:szCs w:val="32"/>
        </w:rPr>
        <w:t>22</w:t>
      </w:r>
      <w:r>
        <w:rPr>
          <w:rFonts w:ascii="仿宋_GB2312" w:eastAsia="仿宋_GB2312" w:hAnsi="仿宋" w:hint="eastAsia"/>
          <w:bCs/>
          <w:sz w:val="32"/>
          <w:szCs w:val="32"/>
        </w:rPr>
        <w:t>）</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《广东省森林公园管理条例》（</w:t>
      </w:r>
      <w:r>
        <w:rPr>
          <w:rFonts w:ascii="仿宋_GB2312" w:eastAsia="仿宋_GB2312" w:hAnsi="仿宋"/>
          <w:bCs/>
          <w:sz w:val="32"/>
          <w:szCs w:val="32"/>
        </w:rPr>
        <w:t>2020年修订）</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《广东省森林生态旅游示范基地评定标准》（粤林</w:t>
      </w:r>
      <w:r>
        <w:rPr>
          <w:rFonts w:ascii="仿宋_GB2312" w:eastAsia="仿宋_GB2312" w:hAnsi="仿宋"/>
          <w:bCs/>
          <w:sz w:val="32"/>
          <w:szCs w:val="32"/>
        </w:rPr>
        <w:t>[2009]87号）</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《广东省森林公园质量等级评定管理办法》（20</w:t>
      </w:r>
      <w:r>
        <w:rPr>
          <w:rFonts w:ascii="仿宋_GB2312" w:eastAsia="仿宋_GB2312" w:hAnsi="仿宋"/>
          <w:bCs/>
          <w:sz w:val="32"/>
          <w:szCs w:val="32"/>
        </w:rPr>
        <w:t>18</w:t>
      </w:r>
      <w:r>
        <w:rPr>
          <w:rFonts w:ascii="仿宋_GB2312" w:eastAsia="仿宋_GB2312" w:hAnsi="仿宋" w:hint="eastAsia"/>
          <w:bCs/>
          <w:sz w:val="32"/>
          <w:szCs w:val="32"/>
        </w:rPr>
        <w:t>）</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《广东省林业局关于国家级、省级森林公园行政</w:t>
      </w:r>
      <w:r>
        <w:rPr>
          <w:rFonts w:ascii="仿宋_GB2312" w:eastAsia="仿宋_GB2312" w:hAnsi="仿宋" w:hint="eastAsia"/>
          <w:bCs/>
          <w:sz w:val="32"/>
          <w:szCs w:val="32"/>
        </w:rPr>
        <w:lastRenderedPageBreak/>
        <w:t>评级许可管理办法》（</w:t>
      </w:r>
      <w:r>
        <w:rPr>
          <w:rFonts w:ascii="仿宋_GB2312" w:eastAsia="仿宋_GB2312" w:hAnsi="仿宋"/>
          <w:bCs/>
          <w:sz w:val="32"/>
          <w:szCs w:val="32"/>
        </w:rPr>
        <w:t>2008）</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《广东省林业局关于加强省级森林公园总体规划编制相关工作的通知》（20</w:t>
      </w:r>
      <w:r>
        <w:rPr>
          <w:rFonts w:ascii="仿宋_GB2312" w:eastAsia="仿宋_GB2312" w:hAnsi="仿宋"/>
          <w:bCs/>
          <w:sz w:val="32"/>
          <w:szCs w:val="32"/>
        </w:rPr>
        <w:t>18</w:t>
      </w:r>
      <w:r>
        <w:rPr>
          <w:rFonts w:ascii="仿宋_GB2312" w:eastAsia="仿宋_GB2312" w:hAnsi="仿宋" w:hint="eastAsia"/>
          <w:bCs/>
          <w:sz w:val="32"/>
          <w:szCs w:val="32"/>
        </w:rPr>
        <w:t>）</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《广州市流溪河流域管理规定》（</w:t>
      </w:r>
      <w:r>
        <w:rPr>
          <w:rFonts w:ascii="仿宋_GB2312" w:eastAsia="仿宋_GB2312" w:hAnsi="仿宋"/>
          <w:bCs/>
          <w:sz w:val="32"/>
          <w:szCs w:val="32"/>
        </w:rPr>
        <w:t>2021年修订）</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hint="eastAsia"/>
          <w:bCs/>
          <w:sz w:val="32"/>
          <w:szCs w:val="32"/>
        </w:rPr>
        <w:t>《广州市流溪河水源涵养林保护管理规定》（穗常发〔</w:t>
      </w:r>
      <w:r>
        <w:rPr>
          <w:rFonts w:ascii="仿宋_GB2312" w:eastAsia="仿宋_GB2312" w:hAnsi="仿宋"/>
          <w:bCs/>
          <w:sz w:val="32"/>
          <w:szCs w:val="32"/>
        </w:rPr>
        <w:t>1997〕110号）</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《广州市国土空间总体规划（</w:t>
      </w:r>
      <w:r>
        <w:rPr>
          <w:rFonts w:ascii="仿宋_GB2312" w:eastAsia="仿宋_GB2312" w:hAnsi="仿宋"/>
          <w:bCs/>
          <w:sz w:val="32"/>
          <w:szCs w:val="32"/>
        </w:rPr>
        <w:t>2021-2035年）》</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《广州市从化区国土空间总体规划（</w:t>
      </w:r>
      <w:r>
        <w:rPr>
          <w:rFonts w:ascii="仿宋_GB2312" w:eastAsia="仿宋_GB2312" w:hAnsi="仿宋"/>
          <w:bCs/>
          <w:sz w:val="32"/>
          <w:szCs w:val="32"/>
        </w:rPr>
        <w:t>2021-2035年）》</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《环南昆山</w:t>
      </w:r>
      <w:r>
        <w:rPr>
          <w:rFonts w:ascii="仿宋_GB2312" w:eastAsia="仿宋_GB2312" w:hAnsi="仿宋"/>
          <w:bCs/>
          <w:sz w:val="32"/>
          <w:szCs w:val="32"/>
        </w:rPr>
        <w:t>-罗浮山县镇村高质量发展引领区总体规划纲要》</w:t>
      </w:r>
      <w:r>
        <w:rPr>
          <w:rFonts w:ascii="仿宋_GB2312" w:eastAsia="仿宋_GB2312" w:hAnsi="仿宋" w:hint="eastAsia"/>
          <w:bCs/>
          <w:sz w:val="32"/>
          <w:szCs w:val="32"/>
        </w:rPr>
        <w:t>（20</w:t>
      </w:r>
      <w:r>
        <w:rPr>
          <w:rFonts w:ascii="仿宋_GB2312" w:eastAsia="仿宋_GB2312" w:hAnsi="仿宋"/>
          <w:bCs/>
          <w:sz w:val="32"/>
          <w:szCs w:val="32"/>
        </w:rPr>
        <w:t>24</w:t>
      </w:r>
      <w:r>
        <w:rPr>
          <w:rFonts w:ascii="仿宋_GB2312" w:eastAsia="仿宋_GB2312" w:hAnsi="仿宋" w:hint="eastAsia"/>
          <w:bCs/>
          <w:sz w:val="32"/>
          <w:szCs w:val="32"/>
        </w:rPr>
        <w:t>）</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《广州市推进环南昆山—罗浮山县镇村高质量发展引领区建设实施方案（</w:t>
      </w:r>
      <w:r>
        <w:rPr>
          <w:rFonts w:ascii="仿宋_GB2312" w:eastAsia="仿宋_GB2312" w:hAnsi="仿宋"/>
          <w:bCs/>
          <w:sz w:val="32"/>
          <w:szCs w:val="32"/>
        </w:rPr>
        <w:t>2024</w:t>
      </w:r>
      <w:r>
        <w:rPr>
          <w:rFonts w:ascii="仿宋_GB2312" w:eastAsia="仿宋_GB2312" w:hAnsi="仿宋"/>
          <w:bCs/>
          <w:sz w:val="32"/>
          <w:szCs w:val="32"/>
        </w:rPr>
        <w:t>—</w:t>
      </w:r>
      <w:r>
        <w:rPr>
          <w:rFonts w:ascii="仿宋_GB2312" w:eastAsia="仿宋_GB2312" w:hAnsi="仿宋"/>
          <w:bCs/>
          <w:sz w:val="32"/>
          <w:szCs w:val="32"/>
        </w:rPr>
        <w:t>2027年）》</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《广州市自然保护地规划（</w:t>
      </w:r>
      <w:r>
        <w:rPr>
          <w:rFonts w:ascii="仿宋_GB2312" w:eastAsia="仿宋_GB2312" w:hAnsi="仿宋"/>
          <w:bCs/>
          <w:sz w:val="32"/>
          <w:szCs w:val="32"/>
        </w:rPr>
        <w:t>2023-2035年）》</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《广州市流溪河流域综合规划</w:t>
      </w:r>
      <w:r>
        <w:rPr>
          <w:rFonts w:ascii="仿宋_GB2312" w:eastAsia="仿宋_GB2312" w:hAnsi="仿宋"/>
          <w:bCs/>
          <w:sz w:val="32"/>
          <w:szCs w:val="32"/>
        </w:rPr>
        <w:t>(2015-2030年)》</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《绿美广州五年行动计划（</w:t>
      </w:r>
      <w:r>
        <w:rPr>
          <w:rFonts w:ascii="仿宋_GB2312" w:eastAsia="仿宋_GB2312" w:hAnsi="仿宋"/>
          <w:bCs/>
          <w:sz w:val="32"/>
          <w:szCs w:val="32"/>
        </w:rPr>
        <w:t>2023</w:t>
      </w:r>
      <w:r>
        <w:rPr>
          <w:rFonts w:ascii="仿宋_GB2312" w:eastAsia="仿宋_GB2312" w:hAnsi="仿宋"/>
          <w:bCs/>
          <w:sz w:val="32"/>
          <w:szCs w:val="32"/>
        </w:rPr>
        <w:t>—</w:t>
      </w:r>
      <w:r>
        <w:rPr>
          <w:rFonts w:ascii="仿宋_GB2312" w:eastAsia="仿宋_GB2312" w:hAnsi="仿宋"/>
          <w:bCs/>
          <w:sz w:val="32"/>
          <w:szCs w:val="32"/>
        </w:rPr>
        <w:t>2027年）》</w:t>
      </w:r>
    </w:p>
    <w:p w:rsidR="00251A94" w:rsidRDefault="001E6B8E">
      <w:pPr>
        <w:pStyle w:val="ac"/>
        <w:numPr>
          <w:ilvl w:val="0"/>
          <w:numId w:val="1"/>
        </w:numPr>
        <w:spacing w:line="560" w:lineRule="exact"/>
        <w:ind w:firstLineChars="0"/>
        <w:rPr>
          <w:rFonts w:ascii="仿宋_GB2312" w:eastAsia="仿宋_GB2312" w:hAnsi="仿宋"/>
          <w:bCs/>
          <w:sz w:val="32"/>
          <w:szCs w:val="32"/>
        </w:rPr>
      </w:pPr>
      <w:r>
        <w:rPr>
          <w:rFonts w:ascii="仿宋_GB2312" w:eastAsia="仿宋_GB2312" w:hAnsi="仿宋" w:hint="eastAsia"/>
          <w:bCs/>
          <w:sz w:val="32"/>
          <w:szCs w:val="32"/>
        </w:rPr>
        <w:t>《自然保护区综合科学考察规程》（</w:t>
      </w:r>
      <w:proofErr w:type="gramStart"/>
      <w:r>
        <w:rPr>
          <w:rFonts w:ascii="仿宋_GB2312" w:eastAsia="仿宋_GB2312" w:hAnsi="仿宋" w:hint="eastAsia"/>
          <w:bCs/>
          <w:sz w:val="32"/>
          <w:szCs w:val="32"/>
        </w:rPr>
        <w:t>环函</w:t>
      </w:r>
      <w:proofErr w:type="gramEnd"/>
      <w:r>
        <w:rPr>
          <w:rFonts w:ascii="仿宋_GB2312" w:eastAsia="仿宋_GB2312" w:hAnsi="仿宋" w:hint="eastAsia"/>
          <w:bCs/>
          <w:sz w:val="32"/>
          <w:szCs w:val="32"/>
        </w:rPr>
        <w:t>[2010]139号）</w:t>
      </w:r>
    </w:p>
    <w:p w:rsidR="00251A94" w:rsidRDefault="001E6B8E">
      <w:pPr>
        <w:pStyle w:val="ac"/>
        <w:numPr>
          <w:ilvl w:val="0"/>
          <w:numId w:val="1"/>
        </w:numPr>
        <w:spacing w:line="560" w:lineRule="exact"/>
        <w:ind w:left="981" w:firstLineChars="0"/>
        <w:rPr>
          <w:rFonts w:ascii="仿宋_GB2312" w:eastAsia="仿宋_GB2312" w:hAnsi="仿宋"/>
          <w:bCs/>
          <w:sz w:val="32"/>
          <w:szCs w:val="32"/>
        </w:rPr>
      </w:pPr>
      <w:r>
        <w:rPr>
          <w:rFonts w:ascii="仿宋_GB2312" w:eastAsia="仿宋_GB2312" w:hAnsi="仿宋"/>
          <w:bCs/>
          <w:sz w:val="32"/>
          <w:szCs w:val="32"/>
        </w:rPr>
        <w:t>其他与本规划相关的资料</w:t>
      </w:r>
    </w:p>
    <w:p w:rsidR="00251A94" w:rsidRDefault="001E6B8E">
      <w:pPr>
        <w:pStyle w:val="11"/>
        <w:spacing w:before="0" w:after="0" w:line="560" w:lineRule="exact"/>
        <w:ind w:firstLineChars="200" w:firstLine="640"/>
        <w:rPr>
          <w:rFonts w:hAnsi="华文中宋" w:cs="Times New Roman"/>
          <w:sz w:val="32"/>
          <w:szCs w:val="36"/>
        </w:rPr>
      </w:pPr>
      <w:r>
        <w:rPr>
          <w:rFonts w:hAnsi="华文中宋" w:cs="Times New Roman" w:hint="eastAsia"/>
          <w:sz w:val="32"/>
          <w:szCs w:val="36"/>
        </w:rPr>
        <w:t>五、目标任务</w:t>
      </w:r>
    </w:p>
    <w:p w:rsidR="00251A94" w:rsidRDefault="001E6B8E">
      <w:pPr>
        <w:ind w:firstLineChars="200" w:firstLine="640"/>
        <w:rPr>
          <w:rFonts w:ascii="仿宋_GB2312" w:eastAsia="仿宋_GB2312" w:hAnsi="仿宋"/>
          <w:bCs/>
          <w:sz w:val="32"/>
          <w:szCs w:val="32"/>
        </w:rPr>
      </w:pPr>
      <w:r>
        <w:rPr>
          <w:rFonts w:ascii="仿宋_GB2312" w:eastAsia="仿宋_GB2312" w:hAnsi="仿宋" w:hint="eastAsia"/>
          <w:bCs/>
          <w:sz w:val="32"/>
          <w:szCs w:val="32"/>
        </w:rPr>
        <w:t>本次流溪河国家森林公园总体规划应依据国民经济和社会发展规划，在《广州市国土空间总体规划（</w:t>
      </w:r>
      <w:r>
        <w:rPr>
          <w:rFonts w:ascii="仿宋_GB2312" w:eastAsia="仿宋_GB2312" w:hAnsi="仿宋"/>
          <w:bCs/>
          <w:sz w:val="32"/>
          <w:szCs w:val="32"/>
        </w:rPr>
        <w:t>2021</w:t>
      </w:r>
      <w:r>
        <w:rPr>
          <w:rFonts w:ascii="仿宋_GB2312" w:eastAsia="仿宋_GB2312" w:hAnsi="仿宋"/>
          <w:bCs/>
          <w:sz w:val="32"/>
          <w:szCs w:val="32"/>
        </w:rPr>
        <w:t>—</w:t>
      </w:r>
      <w:r>
        <w:rPr>
          <w:rFonts w:ascii="仿宋_GB2312" w:eastAsia="仿宋_GB2312" w:hAnsi="仿宋"/>
          <w:bCs/>
          <w:sz w:val="32"/>
          <w:szCs w:val="32"/>
        </w:rPr>
        <w:t>2035年）》</w:t>
      </w:r>
      <w:r>
        <w:rPr>
          <w:rFonts w:ascii="仿宋_GB2312" w:eastAsia="仿宋_GB2312" w:hAnsi="仿宋" w:hint="eastAsia"/>
          <w:bCs/>
          <w:sz w:val="32"/>
          <w:szCs w:val="32"/>
        </w:rPr>
        <w:t>、《广州市从化区国土空间总体规划（</w:t>
      </w:r>
      <w:r>
        <w:rPr>
          <w:rFonts w:ascii="仿宋_GB2312" w:eastAsia="仿宋_GB2312" w:hAnsi="仿宋"/>
          <w:bCs/>
          <w:sz w:val="32"/>
          <w:szCs w:val="32"/>
        </w:rPr>
        <w:t>2021</w:t>
      </w:r>
      <w:r>
        <w:rPr>
          <w:rFonts w:ascii="仿宋_GB2312" w:eastAsia="仿宋_GB2312" w:hAnsi="仿宋"/>
          <w:bCs/>
          <w:sz w:val="32"/>
          <w:szCs w:val="32"/>
        </w:rPr>
        <w:t>—</w:t>
      </w:r>
      <w:r>
        <w:rPr>
          <w:rFonts w:ascii="仿宋_GB2312" w:eastAsia="仿宋_GB2312" w:hAnsi="仿宋"/>
          <w:bCs/>
          <w:sz w:val="32"/>
          <w:szCs w:val="32"/>
        </w:rPr>
        <w:t>2035年）》的指导下，充分尊重已编或在编的规划，包括</w:t>
      </w:r>
      <w:r>
        <w:rPr>
          <w:rFonts w:ascii="仿宋_GB2312" w:eastAsia="仿宋_GB2312" w:hAnsi="仿宋" w:hint="eastAsia"/>
          <w:bCs/>
          <w:sz w:val="32"/>
          <w:szCs w:val="32"/>
        </w:rPr>
        <w:t>《广州市河涌</w:t>
      </w:r>
      <w:r>
        <w:rPr>
          <w:rFonts w:ascii="仿宋_GB2312" w:eastAsia="仿宋_GB2312" w:hAnsi="仿宋" w:hint="eastAsia"/>
          <w:bCs/>
          <w:sz w:val="32"/>
          <w:szCs w:val="32"/>
        </w:rPr>
        <w:lastRenderedPageBreak/>
        <w:t>水系规划（</w:t>
      </w:r>
      <w:r>
        <w:rPr>
          <w:rFonts w:ascii="仿宋_GB2312" w:eastAsia="仿宋_GB2312" w:hAnsi="仿宋"/>
          <w:bCs/>
          <w:sz w:val="32"/>
          <w:szCs w:val="32"/>
        </w:rPr>
        <w:t>2017-2035）</w:t>
      </w:r>
      <w:r>
        <w:rPr>
          <w:rFonts w:ascii="仿宋_GB2312" w:eastAsia="仿宋_GB2312" w:hAnsi="仿宋" w:hint="eastAsia"/>
          <w:bCs/>
          <w:sz w:val="32"/>
          <w:szCs w:val="32"/>
        </w:rPr>
        <w:t>》</w:t>
      </w:r>
      <w:r>
        <w:rPr>
          <w:rFonts w:ascii="仿宋_GB2312" w:eastAsia="仿宋_GB2312" w:hAnsi="仿宋"/>
          <w:bCs/>
          <w:sz w:val="32"/>
          <w:szCs w:val="32"/>
        </w:rPr>
        <w:t>、</w:t>
      </w:r>
      <w:r>
        <w:rPr>
          <w:rFonts w:ascii="仿宋_GB2312" w:eastAsia="仿宋_GB2312" w:hAnsi="仿宋" w:hint="eastAsia"/>
          <w:bCs/>
          <w:sz w:val="32"/>
          <w:szCs w:val="32"/>
        </w:rPr>
        <w:t>《广东流溪河国家森林公园总体规划</w:t>
      </w:r>
      <w:r>
        <w:rPr>
          <w:rFonts w:ascii="仿宋_GB2312" w:eastAsia="仿宋_GB2312" w:hAnsi="仿宋"/>
          <w:bCs/>
          <w:sz w:val="32"/>
          <w:szCs w:val="32"/>
        </w:rPr>
        <w:t>(修编)(2017-2026年)</w:t>
      </w:r>
      <w:r>
        <w:rPr>
          <w:rFonts w:ascii="仿宋_GB2312" w:eastAsia="仿宋_GB2312" w:hAnsi="仿宋" w:hint="eastAsia"/>
          <w:bCs/>
          <w:sz w:val="32"/>
          <w:szCs w:val="32"/>
        </w:rPr>
        <w:t>》、《广州市生态廊道总体规划与建设指引》、《广州市流溪河国家</w:t>
      </w:r>
      <w:r>
        <w:rPr>
          <w:rFonts w:ascii="仿宋_GB2312" w:eastAsia="仿宋_GB2312" w:hAnsi="仿宋"/>
          <w:bCs/>
          <w:sz w:val="32"/>
          <w:szCs w:val="32"/>
        </w:rPr>
        <w:t>3A级景区基础设施建设项目</w:t>
      </w:r>
      <w:r>
        <w:rPr>
          <w:rFonts w:ascii="仿宋_GB2312" w:eastAsia="仿宋_GB2312" w:hAnsi="仿宋" w:hint="eastAsia"/>
          <w:bCs/>
          <w:sz w:val="32"/>
          <w:szCs w:val="32"/>
        </w:rPr>
        <w:t>》、《“环南昆山</w:t>
      </w:r>
      <w:r>
        <w:rPr>
          <w:rFonts w:ascii="仿宋_GB2312" w:eastAsia="仿宋_GB2312" w:hAnsi="仿宋"/>
          <w:bCs/>
          <w:sz w:val="32"/>
          <w:szCs w:val="32"/>
        </w:rPr>
        <w:t>-罗浮山引领区</w:t>
      </w:r>
      <w:r>
        <w:rPr>
          <w:rFonts w:ascii="仿宋_GB2312" w:eastAsia="仿宋_GB2312" w:hAnsi="仿宋"/>
          <w:bCs/>
          <w:sz w:val="32"/>
          <w:szCs w:val="32"/>
        </w:rPr>
        <w:t>”</w:t>
      </w:r>
      <w:r>
        <w:rPr>
          <w:rFonts w:ascii="仿宋_GB2312" w:eastAsia="仿宋_GB2312" w:hAnsi="仿宋"/>
          <w:bCs/>
          <w:sz w:val="32"/>
          <w:szCs w:val="32"/>
        </w:rPr>
        <w:t>绿美示范带规划》等相关规划，进行编制。</w:t>
      </w:r>
      <w:r>
        <w:rPr>
          <w:rFonts w:ascii="仿宋_GB2312" w:eastAsia="仿宋_GB2312" w:hAnsi="仿宋" w:hint="eastAsia"/>
          <w:bCs/>
          <w:sz w:val="32"/>
          <w:szCs w:val="32"/>
        </w:rPr>
        <w:t>构建与国土空间规划体系深度衔接的协同机制，</w:t>
      </w:r>
      <w:r>
        <w:rPr>
          <w:rFonts w:ascii="仿宋_GB2312" w:eastAsia="仿宋_GB2312" w:hAnsi="仿宋"/>
          <w:bCs/>
          <w:sz w:val="32"/>
          <w:szCs w:val="32"/>
        </w:rPr>
        <w:t>，确保建设项目有</w:t>
      </w:r>
      <w:proofErr w:type="gramStart"/>
      <w:r>
        <w:rPr>
          <w:rFonts w:ascii="仿宋_GB2312" w:eastAsia="仿宋_GB2312" w:hAnsi="仿宋"/>
          <w:bCs/>
          <w:sz w:val="32"/>
          <w:szCs w:val="32"/>
        </w:rPr>
        <w:t>规</w:t>
      </w:r>
      <w:proofErr w:type="gramEnd"/>
      <w:r>
        <w:rPr>
          <w:rFonts w:ascii="仿宋_GB2312" w:eastAsia="仿宋_GB2312" w:hAnsi="仿宋"/>
          <w:bCs/>
          <w:sz w:val="32"/>
          <w:szCs w:val="32"/>
        </w:rPr>
        <w:t>可依</w:t>
      </w:r>
      <w:r>
        <w:rPr>
          <w:rFonts w:ascii="仿宋_GB2312" w:eastAsia="仿宋_GB2312" w:hAnsi="仿宋" w:hint="eastAsia"/>
          <w:bCs/>
          <w:sz w:val="32"/>
          <w:szCs w:val="32"/>
        </w:rPr>
        <w:t>；</w:t>
      </w:r>
      <w:r>
        <w:rPr>
          <w:rFonts w:ascii="仿宋_GB2312" w:eastAsia="仿宋_GB2312" w:hAnsi="仿宋"/>
          <w:bCs/>
          <w:sz w:val="32"/>
          <w:szCs w:val="32"/>
        </w:rPr>
        <w:t>并充分体现林业</w:t>
      </w:r>
      <w:r>
        <w:rPr>
          <w:rFonts w:ascii="仿宋_GB2312" w:eastAsia="仿宋_GB2312" w:hAnsi="仿宋" w:hint="eastAsia"/>
          <w:bCs/>
          <w:sz w:val="32"/>
          <w:szCs w:val="32"/>
        </w:rPr>
        <w:t>、水源等</w:t>
      </w:r>
      <w:r>
        <w:rPr>
          <w:rFonts w:ascii="仿宋_GB2312" w:eastAsia="仿宋_GB2312" w:hAnsi="仿宋"/>
          <w:bCs/>
          <w:sz w:val="32"/>
          <w:szCs w:val="32"/>
        </w:rPr>
        <w:t>方面的生态保护内容，确保地区可持续发展。</w:t>
      </w:r>
    </w:p>
    <w:p w:rsidR="00251A94" w:rsidRDefault="001E6B8E">
      <w:pPr>
        <w:ind w:firstLineChars="200" w:firstLine="640"/>
        <w:rPr>
          <w:rFonts w:ascii="仿宋_GB2312" w:eastAsia="仿宋_GB2312" w:hAnsi="仿宋"/>
          <w:bCs/>
          <w:sz w:val="32"/>
          <w:szCs w:val="32"/>
        </w:rPr>
      </w:pPr>
      <w:r>
        <w:rPr>
          <w:rFonts w:ascii="仿宋_GB2312" w:eastAsia="仿宋_GB2312" w:hAnsi="仿宋" w:hint="eastAsia"/>
          <w:bCs/>
          <w:sz w:val="32"/>
          <w:szCs w:val="32"/>
        </w:rPr>
        <w:t>总体规划应综合研究地区定位及发展方向，科学制定空间规模指标体系并优化功能结构布局，重点统筹协调资源</w:t>
      </w:r>
      <w:proofErr w:type="gramStart"/>
      <w:r>
        <w:rPr>
          <w:rFonts w:ascii="仿宋_GB2312" w:eastAsia="仿宋_GB2312" w:hAnsi="仿宋" w:hint="eastAsia"/>
          <w:bCs/>
          <w:sz w:val="32"/>
          <w:szCs w:val="32"/>
        </w:rPr>
        <w:t>保育与</w:t>
      </w:r>
      <w:proofErr w:type="gramEnd"/>
      <w:r>
        <w:rPr>
          <w:rFonts w:ascii="仿宋_GB2312" w:eastAsia="仿宋_GB2312" w:hAnsi="仿宋" w:hint="eastAsia"/>
          <w:bCs/>
          <w:sz w:val="32"/>
          <w:szCs w:val="32"/>
        </w:rPr>
        <w:t xml:space="preserve">开发建设间的平衡关系，通过建立生态优先的规划传导机制，系统指导森林公园生态保护、资源利用与可持续发展。 </w:t>
      </w:r>
    </w:p>
    <w:p w:rsidR="00251A94" w:rsidRDefault="001E6B8E">
      <w:pPr>
        <w:ind w:firstLineChars="200" w:firstLine="720"/>
        <w:rPr>
          <w:rFonts w:hAnsi="华文中宋" w:cs="Times New Roman"/>
          <w:sz w:val="36"/>
          <w:szCs w:val="36"/>
        </w:rPr>
      </w:pPr>
      <w:r>
        <w:rPr>
          <w:rFonts w:hAnsi="华文中宋" w:cs="Times New Roman" w:hint="eastAsia"/>
          <w:sz w:val="36"/>
          <w:szCs w:val="36"/>
        </w:rPr>
        <w:t>六、工作内容</w:t>
      </w:r>
      <w:bookmarkEnd w:id="1"/>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在充分尊重已有规划的基础上，衔接近期发展诉求，整合规划范围涉及的在编规划方案及流溪河国家森林公园综合科学考察，内容涵盖城市总体规划内容与森林公园规划内容、综合科学考察等2大部分。具体包括</w:t>
      </w:r>
      <w:r>
        <w:rPr>
          <w:rFonts w:ascii="仿宋_GB2312" w:eastAsia="仿宋_GB2312" w:hAnsi="仿宋"/>
          <w:bCs/>
          <w:sz w:val="32"/>
          <w:szCs w:val="32"/>
        </w:rPr>
        <w:t>(但不限于)以下内容:</w:t>
      </w:r>
    </w:p>
    <w:p w:rsidR="00251A94" w:rsidRDefault="001E6B8E" w:rsidP="004A13D4">
      <w:pPr>
        <w:pStyle w:val="2"/>
        <w:numPr>
          <w:ilvl w:val="0"/>
          <w:numId w:val="2"/>
        </w:numPr>
        <w:spacing w:line="336" w:lineRule="auto"/>
        <w:ind w:firstLine="640"/>
        <w:rPr>
          <w:rFonts w:ascii="仿宋_GB2312" w:eastAsia="仿宋_GB2312"/>
          <w:bCs/>
          <w:sz w:val="32"/>
          <w:szCs w:val="32"/>
        </w:rPr>
      </w:pPr>
      <w:bookmarkStart w:id="2" w:name="_Toc193214756"/>
      <w:r>
        <w:rPr>
          <w:rFonts w:ascii="仿宋_GB2312" w:eastAsia="仿宋_GB2312" w:hint="eastAsia"/>
          <w:bCs/>
          <w:sz w:val="32"/>
          <w:szCs w:val="32"/>
        </w:rPr>
        <w:t>广东流溪河国家森林公园总体规划（修编）（202</w:t>
      </w:r>
      <w:r w:rsidR="00C963E6">
        <w:rPr>
          <w:rFonts w:ascii="仿宋_GB2312" w:eastAsiaTheme="minorEastAsia" w:hint="eastAsia"/>
          <w:bCs/>
          <w:sz w:val="32"/>
          <w:szCs w:val="32"/>
        </w:rPr>
        <w:t>6</w:t>
      </w:r>
      <w:r>
        <w:rPr>
          <w:rFonts w:ascii="仿宋_GB2312" w:eastAsia="仿宋_GB2312" w:hint="eastAsia"/>
          <w:bCs/>
          <w:sz w:val="32"/>
          <w:szCs w:val="32"/>
        </w:rPr>
        <w:t>-2035年）</w:t>
      </w:r>
    </w:p>
    <w:p w:rsidR="00251A94" w:rsidRDefault="001E6B8E" w:rsidP="00251A94">
      <w:pPr>
        <w:numPr>
          <w:ilvl w:val="255"/>
          <w:numId w:val="0"/>
        </w:numPr>
        <w:ind w:firstLineChars="300" w:firstLine="960"/>
      </w:pPr>
      <w:r>
        <w:rPr>
          <w:rFonts w:ascii="仿宋_GB2312" w:eastAsia="仿宋_GB2312" w:hAnsi="仿宋" w:hint="eastAsia"/>
          <w:bCs/>
          <w:sz w:val="32"/>
          <w:szCs w:val="32"/>
        </w:rPr>
        <w:t>对流溪河国家森林公园的现状情况进行梳理，综合研究和确定地区定位、性质、功能、发展规模、发展策略、土地利用及空间布局、综合交通、公共服务设施、市政工程、</w:t>
      </w:r>
      <w:r>
        <w:rPr>
          <w:rFonts w:ascii="仿宋_GB2312" w:eastAsia="仿宋_GB2312" w:hAnsi="仿宋" w:hint="eastAsia"/>
          <w:bCs/>
          <w:sz w:val="32"/>
          <w:szCs w:val="32"/>
        </w:rPr>
        <w:lastRenderedPageBreak/>
        <w:t>综合防灾、近期建设等规划内容，编制资源保护、环境保护、历史文化遗产保护、植被景观、生态旅游等方面的专项规划，并进行投资估算与效益评估。</w:t>
      </w:r>
    </w:p>
    <w:p w:rsidR="00251A94" w:rsidRDefault="001E6B8E" w:rsidP="004A13D4">
      <w:pPr>
        <w:pStyle w:val="2"/>
        <w:spacing w:line="336" w:lineRule="auto"/>
        <w:ind w:firstLine="640"/>
        <w:rPr>
          <w:rFonts w:ascii="仿宋_GB2312" w:eastAsia="仿宋_GB2312"/>
          <w:bCs/>
          <w:sz w:val="32"/>
          <w:szCs w:val="32"/>
        </w:rPr>
      </w:pPr>
      <w:r>
        <w:rPr>
          <w:rFonts w:ascii="仿宋_GB2312" w:eastAsia="仿宋_GB2312"/>
          <w:bCs/>
          <w:sz w:val="32"/>
          <w:szCs w:val="32"/>
        </w:rPr>
        <w:t>1、现状及分析</w:t>
      </w:r>
      <w:bookmarkEnd w:id="2"/>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通过现场踏勘及资料收集、访谈等方式对规划区的自然、资源、环境、历史沿革与行政区划、社会经济环境、土地利用现状、森林公园建设与旅游现状等进行摸查，并对生态环境和森林风景资源进行评价。开展综合科学考察，在已完成的动物和植物科考的成果上完善昆虫类生物多样性专项调查、自然保护区水文环境专项调查等。</w:t>
      </w:r>
    </w:p>
    <w:p w:rsidR="00251A94" w:rsidRDefault="001E6B8E" w:rsidP="004A13D4">
      <w:pPr>
        <w:pStyle w:val="2"/>
        <w:spacing w:line="336" w:lineRule="auto"/>
        <w:ind w:firstLine="640"/>
        <w:rPr>
          <w:rFonts w:ascii="仿宋_GB2312" w:eastAsia="仿宋_GB2312"/>
          <w:bCs/>
          <w:sz w:val="32"/>
          <w:szCs w:val="32"/>
        </w:rPr>
      </w:pPr>
      <w:bookmarkStart w:id="3" w:name="_Toc193214757"/>
      <w:r>
        <w:rPr>
          <w:rFonts w:ascii="仿宋_GB2312" w:eastAsia="仿宋_GB2312"/>
          <w:bCs/>
          <w:sz w:val="32"/>
          <w:szCs w:val="32"/>
        </w:rPr>
        <w:t>2、规划依据</w:t>
      </w:r>
      <w:bookmarkEnd w:id="3"/>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根据本规划的特点，明确规划依据，规划原则等。</w:t>
      </w:r>
    </w:p>
    <w:p w:rsidR="00251A94" w:rsidRDefault="001E6B8E" w:rsidP="004A13D4">
      <w:pPr>
        <w:pStyle w:val="2"/>
        <w:spacing w:line="336" w:lineRule="auto"/>
        <w:ind w:firstLine="640"/>
        <w:rPr>
          <w:rFonts w:ascii="仿宋_GB2312" w:eastAsia="仿宋_GB2312"/>
          <w:bCs/>
          <w:sz w:val="32"/>
          <w:szCs w:val="32"/>
        </w:rPr>
      </w:pPr>
      <w:bookmarkStart w:id="4" w:name="_Toc193214758"/>
      <w:r>
        <w:rPr>
          <w:rFonts w:ascii="仿宋_GB2312" w:eastAsia="仿宋_GB2312"/>
          <w:bCs/>
          <w:sz w:val="32"/>
          <w:szCs w:val="32"/>
        </w:rPr>
        <w:t>3、上</w:t>
      </w:r>
      <w:r>
        <w:rPr>
          <w:rFonts w:ascii="仿宋_GB2312" w:eastAsia="仿宋_GB2312" w:hint="eastAsia"/>
          <w:bCs/>
          <w:sz w:val="32"/>
          <w:szCs w:val="32"/>
        </w:rPr>
        <w:t>位规划</w:t>
      </w:r>
      <w:r>
        <w:rPr>
          <w:rFonts w:ascii="仿宋_GB2312" w:eastAsia="仿宋_GB2312"/>
          <w:bCs/>
          <w:sz w:val="32"/>
          <w:szCs w:val="32"/>
        </w:rPr>
        <w:t>及相关规划研究</w:t>
      </w:r>
      <w:bookmarkEnd w:id="4"/>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收集并研究上位规划及相关规划，梳理上位规划的规定和要求，研究其他相关规划对规划区的影响和规定，确定本次总</w:t>
      </w:r>
      <w:proofErr w:type="gramStart"/>
      <w:r>
        <w:rPr>
          <w:rFonts w:ascii="仿宋_GB2312" w:eastAsia="仿宋_GB2312" w:hAnsi="仿宋" w:hint="eastAsia"/>
          <w:bCs/>
          <w:sz w:val="32"/>
          <w:szCs w:val="32"/>
        </w:rPr>
        <w:t>规</w:t>
      </w:r>
      <w:proofErr w:type="gramEnd"/>
      <w:r>
        <w:rPr>
          <w:rFonts w:ascii="仿宋_GB2312" w:eastAsia="仿宋_GB2312" w:hAnsi="仿宋" w:hint="eastAsia"/>
          <w:bCs/>
          <w:sz w:val="32"/>
          <w:szCs w:val="32"/>
        </w:rPr>
        <w:t>修编重点工作。</w:t>
      </w:r>
    </w:p>
    <w:p w:rsidR="00251A94" w:rsidRDefault="001E6B8E" w:rsidP="004A13D4">
      <w:pPr>
        <w:pStyle w:val="2"/>
        <w:spacing w:line="336" w:lineRule="auto"/>
        <w:ind w:firstLine="640"/>
        <w:rPr>
          <w:rFonts w:ascii="仿宋_GB2312" w:eastAsia="仿宋_GB2312"/>
          <w:bCs/>
          <w:sz w:val="32"/>
          <w:szCs w:val="32"/>
        </w:rPr>
      </w:pPr>
      <w:bookmarkStart w:id="5" w:name="_Toc193214759"/>
      <w:r>
        <w:rPr>
          <w:rFonts w:ascii="仿宋_GB2312" w:eastAsia="仿宋_GB2312"/>
          <w:bCs/>
          <w:sz w:val="32"/>
          <w:szCs w:val="32"/>
        </w:rPr>
        <w:t>4、规划定位</w:t>
      </w:r>
      <w:bookmarkEnd w:id="5"/>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通过上述现状研究及规划解读</w:t>
      </w:r>
      <w:r>
        <w:rPr>
          <w:rFonts w:ascii="仿宋_GB2312" w:eastAsia="仿宋_GB2312" w:hAnsi="仿宋"/>
          <w:bCs/>
          <w:sz w:val="32"/>
          <w:szCs w:val="32"/>
        </w:rPr>
        <w:t>,结合国家、省、市等林业部门对</w:t>
      </w:r>
      <w:r>
        <w:rPr>
          <w:rFonts w:ascii="仿宋_GB2312" w:eastAsia="仿宋_GB2312" w:hAnsi="仿宋" w:hint="eastAsia"/>
          <w:bCs/>
          <w:sz w:val="32"/>
          <w:szCs w:val="32"/>
        </w:rPr>
        <w:t>森林公园</w:t>
      </w:r>
      <w:r>
        <w:rPr>
          <w:rFonts w:ascii="仿宋_GB2312" w:eastAsia="仿宋_GB2312" w:hAnsi="仿宋"/>
          <w:bCs/>
          <w:sz w:val="32"/>
          <w:szCs w:val="32"/>
        </w:rPr>
        <w:t>的要求，对</w:t>
      </w:r>
      <w:r>
        <w:rPr>
          <w:rFonts w:ascii="仿宋_GB2312" w:eastAsia="仿宋_GB2312" w:hAnsi="仿宋" w:hint="eastAsia"/>
          <w:bCs/>
          <w:sz w:val="32"/>
          <w:szCs w:val="32"/>
        </w:rPr>
        <w:t>其</w:t>
      </w:r>
      <w:r>
        <w:rPr>
          <w:rFonts w:ascii="仿宋_GB2312" w:eastAsia="仿宋_GB2312" w:hAnsi="仿宋"/>
          <w:bCs/>
          <w:sz w:val="32"/>
          <w:szCs w:val="32"/>
        </w:rPr>
        <w:t>发展阶段与发展条件进行分析，明确森林公园发展的优势与劣势</w:t>
      </w:r>
      <w:r>
        <w:rPr>
          <w:rFonts w:ascii="仿宋_GB2312" w:eastAsia="仿宋_GB2312" w:hAnsi="仿宋" w:hint="eastAsia"/>
          <w:bCs/>
          <w:sz w:val="32"/>
          <w:szCs w:val="32"/>
        </w:rPr>
        <w:t>、</w:t>
      </w:r>
      <w:r>
        <w:rPr>
          <w:rFonts w:ascii="仿宋_GB2312" w:eastAsia="仿宋_GB2312" w:hAnsi="仿宋"/>
          <w:bCs/>
          <w:sz w:val="32"/>
          <w:szCs w:val="32"/>
        </w:rPr>
        <w:t>机遇与挑战，确定</w:t>
      </w:r>
      <w:r>
        <w:rPr>
          <w:rFonts w:ascii="仿宋_GB2312" w:eastAsia="仿宋_GB2312" w:hAnsi="仿宋" w:hint="eastAsia"/>
          <w:bCs/>
          <w:sz w:val="32"/>
          <w:szCs w:val="32"/>
        </w:rPr>
        <w:t>规划区的</w:t>
      </w:r>
      <w:r>
        <w:rPr>
          <w:rFonts w:ascii="仿宋_GB2312" w:eastAsia="仿宋_GB2312" w:hAnsi="仿宋"/>
          <w:bCs/>
          <w:sz w:val="32"/>
          <w:szCs w:val="32"/>
        </w:rPr>
        <w:t>定位、性质和发展目标</w:t>
      </w:r>
      <w:r>
        <w:rPr>
          <w:rFonts w:ascii="仿宋_GB2312" w:eastAsia="仿宋_GB2312" w:hAnsi="仿宋" w:hint="eastAsia"/>
          <w:bCs/>
          <w:sz w:val="32"/>
          <w:szCs w:val="32"/>
        </w:rPr>
        <w:t>，</w:t>
      </w:r>
      <w:r>
        <w:rPr>
          <w:rFonts w:ascii="仿宋_GB2312" w:eastAsia="仿宋_GB2312" w:hAnsi="仿宋"/>
          <w:bCs/>
          <w:sz w:val="32"/>
          <w:szCs w:val="32"/>
        </w:rPr>
        <w:t>提出发展战略。</w:t>
      </w:r>
    </w:p>
    <w:p w:rsidR="00251A94" w:rsidRDefault="001E6B8E" w:rsidP="004A13D4">
      <w:pPr>
        <w:pStyle w:val="2"/>
        <w:spacing w:line="336" w:lineRule="auto"/>
        <w:ind w:firstLine="640"/>
        <w:rPr>
          <w:rFonts w:ascii="仿宋_GB2312" w:eastAsia="仿宋_GB2312"/>
          <w:bCs/>
          <w:sz w:val="32"/>
          <w:szCs w:val="32"/>
        </w:rPr>
      </w:pPr>
      <w:bookmarkStart w:id="6" w:name="_Toc193214760"/>
      <w:r>
        <w:rPr>
          <w:rFonts w:ascii="仿宋_GB2312" w:eastAsia="仿宋_GB2312"/>
          <w:bCs/>
          <w:sz w:val="32"/>
          <w:szCs w:val="32"/>
        </w:rPr>
        <w:t>5、功能及发展策略</w:t>
      </w:r>
      <w:bookmarkEnd w:id="6"/>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lastRenderedPageBreak/>
        <w:t>在总体定位的指导下，结合当前产业发展的趋势及森林公园自身的资源和特点，确定产业发展方向、战略、目标，构建产业体系和服务体系，指导产业布局。</w:t>
      </w:r>
    </w:p>
    <w:p w:rsidR="00251A94" w:rsidRDefault="001E6B8E" w:rsidP="004A13D4">
      <w:pPr>
        <w:pStyle w:val="2"/>
        <w:spacing w:line="336" w:lineRule="auto"/>
        <w:ind w:firstLine="640"/>
        <w:rPr>
          <w:rFonts w:ascii="仿宋_GB2312" w:eastAsia="仿宋_GB2312"/>
          <w:bCs/>
          <w:sz w:val="32"/>
          <w:szCs w:val="32"/>
        </w:rPr>
      </w:pPr>
      <w:bookmarkStart w:id="7" w:name="_Toc193214761"/>
      <w:r>
        <w:rPr>
          <w:rFonts w:ascii="仿宋_GB2312" w:eastAsia="仿宋_GB2312"/>
          <w:bCs/>
          <w:sz w:val="32"/>
          <w:szCs w:val="32"/>
        </w:rPr>
        <w:t>6、发展规模</w:t>
      </w:r>
      <w:bookmarkEnd w:id="7"/>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根据用地适应性评价、土地承载力</w:t>
      </w:r>
      <w:r>
        <w:rPr>
          <w:rFonts w:ascii="仿宋_GB2312" w:eastAsia="仿宋_GB2312" w:hAnsi="仿宋"/>
          <w:bCs/>
          <w:sz w:val="32"/>
          <w:szCs w:val="32"/>
        </w:rPr>
        <w:t>(容量)分析及相关规划政策等的指引，</w:t>
      </w:r>
      <w:r>
        <w:rPr>
          <w:rFonts w:ascii="仿宋_GB2312" w:eastAsia="仿宋_GB2312" w:hAnsi="仿宋" w:hint="eastAsia"/>
          <w:bCs/>
          <w:sz w:val="32"/>
          <w:szCs w:val="32"/>
        </w:rPr>
        <w:t>遵循国土空间规划的相关管控要求，</w:t>
      </w:r>
      <w:r>
        <w:rPr>
          <w:rFonts w:ascii="仿宋_GB2312" w:eastAsia="仿宋_GB2312" w:hAnsi="仿宋"/>
          <w:bCs/>
          <w:sz w:val="32"/>
          <w:szCs w:val="32"/>
        </w:rPr>
        <w:t>确定建设用地的范围及规模</w:t>
      </w:r>
      <w:r>
        <w:rPr>
          <w:rFonts w:ascii="仿宋_GB2312" w:eastAsia="仿宋_GB2312" w:hAnsi="仿宋" w:hint="eastAsia"/>
          <w:bCs/>
          <w:sz w:val="32"/>
          <w:szCs w:val="32"/>
        </w:rPr>
        <w:t>。</w:t>
      </w:r>
      <w:r>
        <w:rPr>
          <w:rFonts w:ascii="仿宋_GB2312" w:eastAsia="仿宋_GB2312" w:hAnsi="仿宋"/>
          <w:bCs/>
          <w:sz w:val="32"/>
          <w:szCs w:val="32"/>
        </w:rPr>
        <w:t>预测及分析</w:t>
      </w:r>
      <w:r>
        <w:rPr>
          <w:rFonts w:ascii="仿宋_GB2312" w:eastAsia="仿宋_GB2312" w:hAnsi="仿宋" w:hint="eastAsia"/>
          <w:bCs/>
          <w:sz w:val="32"/>
          <w:szCs w:val="32"/>
        </w:rPr>
        <w:t>森林公园</w:t>
      </w:r>
      <w:r>
        <w:rPr>
          <w:rFonts w:ascii="仿宋_GB2312" w:eastAsia="仿宋_GB2312" w:hAnsi="仿宋"/>
          <w:bCs/>
          <w:sz w:val="32"/>
          <w:szCs w:val="32"/>
        </w:rPr>
        <w:t>人口规模及游客规模</w:t>
      </w:r>
      <w:r>
        <w:rPr>
          <w:rFonts w:ascii="仿宋_GB2312" w:eastAsia="仿宋_GB2312" w:hAnsi="仿宋" w:hint="eastAsia"/>
          <w:bCs/>
          <w:sz w:val="32"/>
          <w:szCs w:val="32"/>
        </w:rPr>
        <w:t>、</w:t>
      </w:r>
      <w:r>
        <w:rPr>
          <w:rFonts w:ascii="仿宋_GB2312" w:eastAsia="仿宋_GB2312" w:hAnsi="仿宋"/>
          <w:bCs/>
          <w:sz w:val="32"/>
          <w:szCs w:val="32"/>
        </w:rPr>
        <w:t>客源市场等</w:t>
      </w:r>
      <w:r>
        <w:rPr>
          <w:rFonts w:ascii="仿宋_GB2312" w:eastAsia="仿宋_GB2312" w:hAnsi="仿宋" w:hint="eastAsia"/>
          <w:bCs/>
          <w:sz w:val="32"/>
          <w:szCs w:val="32"/>
        </w:rPr>
        <w:t>，确定公共服务设施和旅游服务设施的建设规模</w:t>
      </w:r>
      <w:r>
        <w:rPr>
          <w:rFonts w:ascii="仿宋_GB2312" w:eastAsia="仿宋_GB2312" w:hAnsi="仿宋"/>
          <w:bCs/>
          <w:sz w:val="32"/>
          <w:szCs w:val="32"/>
        </w:rPr>
        <w:t>。</w:t>
      </w:r>
    </w:p>
    <w:p w:rsidR="00251A94" w:rsidRDefault="001E6B8E" w:rsidP="004A13D4">
      <w:pPr>
        <w:pStyle w:val="2"/>
        <w:spacing w:line="336" w:lineRule="auto"/>
        <w:ind w:firstLine="640"/>
        <w:rPr>
          <w:rFonts w:ascii="仿宋_GB2312" w:eastAsia="仿宋_GB2312"/>
          <w:bCs/>
          <w:sz w:val="32"/>
          <w:szCs w:val="32"/>
        </w:rPr>
      </w:pPr>
      <w:bookmarkStart w:id="8" w:name="_Toc193214762"/>
      <w:r>
        <w:rPr>
          <w:rFonts w:ascii="仿宋_GB2312" w:eastAsia="仿宋_GB2312"/>
          <w:bCs/>
          <w:sz w:val="32"/>
          <w:szCs w:val="32"/>
        </w:rPr>
        <w:t>7、土地利用规划</w:t>
      </w:r>
      <w:bookmarkEnd w:id="8"/>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根据上述研究结论</w:t>
      </w:r>
      <w:r>
        <w:rPr>
          <w:rFonts w:ascii="仿宋_GB2312" w:eastAsia="仿宋_GB2312" w:hAnsi="仿宋"/>
          <w:bCs/>
          <w:sz w:val="32"/>
          <w:szCs w:val="32"/>
        </w:rPr>
        <w:t>,对规划区内的土地进行统筹</w:t>
      </w:r>
      <w:r>
        <w:rPr>
          <w:rFonts w:ascii="仿宋_GB2312" w:eastAsia="仿宋_GB2312" w:hAnsi="仿宋" w:hint="eastAsia"/>
          <w:bCs/>
          <w:sz w:val="32"/>
          <w:szCs w:val="32"/>
        </w:rPr>
        <w:t>规划</w:t>
      </w:r>
      <w:r>
        <w:rPr>
          <w:rFonts w:ascii="仿宋_GB2312" w:eastAsia="仿宋_GB2312" w:hAnsi="仿宋"/>
          <w:bCs/>
          <w:sz w:val="32"/>
          <w:szCs w:val="32"/>
        </w:rPr>
        <w:t>，确定规划结构、功能分区、土地利用规划、分期建设规划等。</w:t>
      </w:r>
    </w:p>
    <w:p w:rsidR="00251A94" w:rsidRDefault="001E6B8E" w:rsidP="004A13D4">
      <w:pPr>
        <w:pStyle w:val="2"/>
        <w:spacing w:line="336" w:lineRule="auto"/>
        <w:ind w:firstLine="640"/>
        <w:rPr>
          <w:rFonts w:ascii="仿宋_GB2312" w:eastAsia="仿宋_GB2312"/>
          <w:bCs/>
          <w:sz w:val="32"/>
          <w:szCs w:val="32"/>
        </w:rPr>
      </w:pPr>
      <w:bookmarkStart w:id="9" w:name="_Toc193214763"/>
      <w:r>
        <w:rPr>
          <w:rFonts w:ascii="仿宋_GB2312" w:eastAsia="仿宋_GB2312"/>
          <w:bCs/>
          <w:sz w:val="32"/>
          <w:szCs w:val="32"/>
        </w:rPr>
        <w:t>8、社区发展规划</w:t>
      </w:r>
      <w:bookmarkEnd w:id="9"/>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结合规划区居民现状和特点，在土地利用规划的基础上，深化社区发展规划，使其更加有效的指导规划区社区建设。</w:t>
      </w:r>
    </w:p>
    <w:p w:rsidR="00251A94" w:rsidRDefault="001E6B8E" w:rsidP="004A13D4">
      <w:pPr>
        <w:pStyle w:val="2"/>
        <w:spacing w:line="336" w:lineRule="auto"/>
        <w:ind w:firstLine="640"/>
        <w:rPr>
          <w:rFonts w:ascii="仿宋_GB2312" w:eastAsia="仿宋_GB2312"/>
          <w:bCs/>
          <w:sz w:val="32"/>
          <w:szCs w:val="32"/>
        </w:rPr>
      </w:pPr>
      <w:bookmarkStart w:id="10" w:name="_Toc193214764"/>
      <w:r>
        <w:rPr>
          <w:rFonts w:ascii="仿宋_GB2312" w:eastAsia="仿宋_GB2312"/>
          <w:bCs/>
          <w:sz w:val="32"/>
          <w:szCs w:val="32"/>
        </w:rPr>
        <w:t>9、土地整理及空间管制规划</w:t>
      </w:r>
      <w:bookmarkEnd w:id="10"/>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结合城市更新策略，提出建设用地的更新路径与土地整备方案，明确空间管制要求。</w:t>
      </w:r>
    </w:p>
    <w:p w:rsidR="00251A94" w:rsidRDefault="001E6B8E" w:rsidP="004A13D4">
      <w:pPr>
        <w:pStyle w:val="2"/>
        <w:spacing w:line="336" w:lineRule="auto"/>
        <w:ind w:firstLine="640"/>
        <w:rPr>
          <w:rFonts w:ascii="仿宋_GB2312" w:eastAsia="仿宋_GB2312"/>
          <w:bCs/>
          <w:sz w:val="32"/>
          <w:szCs w:val="32"/>
        </w:rPr>
      </w:pPr>
      <w:bookmarkStart w:id="11" w:name="_Toc193214765"/>
      <w:r>
        <w:rPr>
          <w:rFonts w:ascii="仿宋_GB2312" w:eastAsia="仿宋_GB2312"/>
          <w:bCs/>
          <w:sz w:val="32"/>
          <w:szCs w:val="32"/>
        </w:rPr>
        <w:t>10、专项规划</w:t>
      </w:r>
      <w:bookmarkEnd w:id="11"/>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1）综合交通规划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衔接上层次规划，确定交通发展战略和城市公共交通的总体布局，确定主要对外交通设施和主要道路交通设施布局。</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lastRenderedPageBreak/>
        <w:t>（</w:t>
      </w:r>
      <w:r>
        <w:rPr>
          <w:rFonts w:ascii="仿宋_GB2312" w:eastAsia="仿宋_GB2312" w:hAnsi="仿宋"/>
          <w:bCs/>
          <w:sz w:val="32"/>
          <w:szCs w:val="32"/>
        </w:rPr>
        <w:t>2）公共服务设施系统规划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根据森林公园生产、生活、游憩等需要，确定各类公共服务设施的规模、布局。</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3）资源保护与利用规划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确定资源保护与利用原则，分析研究水资源、土地资源、矿产资源、森林资源、风景资源、生物资源等的现状情况、存在问题及保护利用措施。</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4）植被与森林景观规划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分析现状景观特色与存在问题，确定森林景观规划的目标与原则，确定整体景观格局，营造景观风貌，突出森林景观和滨水景观特色。</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5）历史文化保护规划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确定历史文化保护及地方传统特色保护的内容和要求，确定各级文物保护单位及历史建筑的保护范围，研究确定特色风貌保护重点区域及保护措施。</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6）森林生态旅游</w:t>
      </w:r>
      <w:r>
        <w:rPr>
          <w:rFonts w:ascii="仿宋_GB2312" w:eastAsia="仿宋_GB2312" w:hAnsi="仿宋" w:hint="eastAsia"/>
          <w:bCs/>
          <w:sz w:val="32"/>
          <w:szCs w:val="32"/>
        </w:rPr>
        <w:t>与服务设施</w:t>
      </w:r>
      <w:r>
        <w:rPr>
          <w:rFonts w:ascii="仿宋_GB2312" w:eastAsia="仿宋_GB2312" w:hAnsi="仿宋"/>
          <w:bCs/>
          <w:sz w:val="32"/>
          <w:szCs w:val="32"/>
        </w:rPr>
        <w:t>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分析旅游资源及旅游业发展现状，确定旅游发展规划的原则、目标、规模与总体战略。把握市场，完善旅游产品体系、旅游空间布局及游线组织，并对旅游服务设施进行需求分析与规划。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7）市政基础设施规划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确定给水、污水、雨水、电力、燃气、通信、环卫工程</w:t>
      </w:r>
      <w:r>
        <w:rPr>
          <w:rFonts w:ascii="仿宋_GB2312" w:eastAsia="仿宋_GB2312" w:hAnsi="仿宋" w:hint="eastAsia"/>
          <w:bCs/>
          <w:sz w:val="32"/>
          <w:szCs w:val="32"/>
        </w:rPr>
        <w:lastRenderedPageBreak/>
        <w:t>的发展目标及重大设施总体布局。</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8）环境保护规划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分析生态环境总体现状，确定生态环境保护范围、管</w:t>
      </w:r>
      <w:proofErr w:type="gramStart"/>
      <w:r>
        <w:rPr>
          <w:rFonts w:ascii="仿宋_GB2312" w:eastAsia="仿宋_GB2312" w:hAnsi="仿宋" w:hint="eastAsia"/>
          <w:bCs/>
          <w:sz w:val="32"/>
          <w:szCs w:val="32"/>
        </w:rPr>
        <w:t>控要求</w:t>
      </w:r>
      <w:proofErr w:type="gramEnd"/>
      <w:r>
        <w:rPr>
          <w:rFonts w:ascii="仿宋_GB2312" w:eastAsia="仿宋_GB2312" w:hAnsi="仿宋" w:hint="eastAsia"/>
          <w:bCs/>
          <w:sz w:val="32"/>
          <w:szCs w:val="32"/>
        </w:rPr>
        <w:t>与建设目标，提出污染控制与治理措施，保护水土及生物多样性。</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9）综合防灾规划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确定综合防灾与公共安全保障体系，提出防洪、消防、人防、抗震、地质灾害防护、应急管理等规划原则和建设方针。</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（10）生态文化建设规划</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确定生态文化建设的原则、重点和布局，确定生态文化设施的类型、功能和布局，完善解说系统。</w:t>
      </w:r>
    </w:p>
    <w:p w:rsidR="00251A94" w:rsidRDefault="001E6B8E" w:rsidP="004A13D4">
      <w:pPr>
        <w:pStyle w:val="2"/>
        <w:spacing w:line="336" w:lineRule="auto"/>
        <w:ind w:firstLine="640"/>
        <w:rPr>
          <w:rFonts w:ascii="仿宋_GB2312" w:eastAsia="仿宋_GB2312"/>
          <w:bCs/>
          <w:sz w:val="32"/>
          <w:szCs w:val="32"/>
        </w:rPr>
      </w:pPr>
      <w:r>
        <w:rPr>
          <w:rFonts w:ascii="仿宋_GB2312" w:eastAsia="仿宋_GB2312"/>
          <w:bCs/>
          <w:sz w:val="32"/>
          <w:szCs w:val="32"/>
        </w:rPr>
        <w:t>11、环境影响评估</w:t>
      </w:r>
    </w:p>
    <w:p w:rsidR="00251A94" w:rsidRDefault="001E6B8E">
      <w:pPr>
        <w:spacing w:line="336" w:lineRule="auto"/>
        <w:ind w:firstLineChars="200" w:firstLine="640"/>
        <w:rPr>
          <w:rFonts w:ascii="仿宋_GB2312" w:eastAsia="仿宋_GB2312"/>
          <w:bCs/>
          <w:sz w:val="32"/>
          <w:szCs w:val="32"/>
        </w:rPr>
      </w:pPr>
      <w:r>
        <w:rPr>
          <w:rFonts w:ascii="仿宋_GB2312" w:eastAsia="仿宋_GB2312" w:hAnsi="仿宋" w:hint="eastAsia"/>
          <w:bCs/>
          <w:sz w:val="32"/>
          <w:szCs w:val="32"/>
        </w:rPr>
        <w:t>识别开发活动对生态系统的潜在影响，预测环境质量变化趋势；评估生态敏感区承载力，设定开发强度阈值；制定污染防治与生态保护措施。</w:t>
      </w:r>
    </w:p>
    <w:p w:rsidR="00251A94" w:rsidRDefault="001E6B8E" w:rsidP="004A13D4">
      <w:pPr>
        <w:pStyle w:val="2"/>
        <w:spacing w:line="336" w:lineRule="auto"/>
        <w:ind w:firstLine="640"/>
        <w:rPr>
          <w:rFonts w:ascii="仿宋_GB2312" w:eastAsia="仿宋_GB2312"/>
          <w:bCs/>
          <w:sz w:val="32"/>
          <w:szCs w:val="32"/>
        </w:rPr>
      </w:pPr>
      <w:r>
        <w:rPr>
          <w:rFonts w:ascii="仿宋_GB2312" w:eastAsia="仿宋_GB2312"/>
          <w:bCs/>
          <w:sz w:val="32"/>
          <w:szCs w:val="32"/>
        </w:rPr>
        <w:t>12、投资估算</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根据投资依据，对森林公园的建设进行投资估算并提出资金筹措建议。</w:t>
      </w:r>
    </w:p>
    <w:p w:rsidR="00251A94" w:rsidRDefault="001E6B8E" w:rsidP="004A13D4">
      <w:pPr>
        <w:pStyle w:val="2"/>
        <w:spacing w:line="336" w:lineRule="auto"/>
        <w:ind w:firstLine="640"/>
        <w:rPr>
          <w:rFonts w:ascii="仿宋_GB2312" w:eastAsia="仿宋_GB2312"/>
          <w:bCs/>
          <w:sz w:val="32"/>
          <w:szCs w:val="32"/>
        </w:rPr>
      </w:pPr>
      <w:r>
        <w:rPr>
          <w:rFonts w:ascii="仿宋_GB2312" w:eastAsia="仿宋_GB2312"/>
          <w:bCs/>
          <w:sz w:val="32"/>
          <w:szCs w:val="32"/>
        </w:rPr>
        <w:t>13、效益评估</w:t>
      </w:r>
    </w:p>
    <w:p w:rsidR="00251A94" w:rsidRDefault="001E6B8E">
      <w:pPr>
        <w:spacing w:line="336"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对森林公园的规划方案进行生态效益评估，社会效益评估，经济效益评估。</w:t>
      </w:r>
    </w:p>
    <w:p w:rsidR="00251A94" w:rsidRDefault="001E6B8E" w:rsidP="004A13D4">
      <w:pPr>
        <w:pStyle w:val="2"/>
        <w:spacing w:line="336" w:lineRule="auto"/>
        <w:ind w:firstLine="640"/>
        <w:rPr>
          <w:rFonts w:ascii="仿宋_GB2312" w:eastAsia="仿宋_GB2312"/>
          <w:bCs/>
          <w:sz w:val="32"/>
          <w:szCs w:val="32"/>
        </w:rPr>
      </w:pPr>
      <w:r>
        <w:rPr>
          <w:rFonts w:ascii="仿宋_GB2312" w:eastAsia="仿宋_GB2312"/>
          <w:bCs/>
          <w:sz w:val="32"/>
          <w:szCs w:val="32"/>
        </w:rPr>
        <w:lastRenderedPageBreak/>
        <w:t>14、分期建设</w:t>
      </w:r>
    </w:p>
    <w:p w:rsidR="00251A94" w:rsidRPr="00E10B4F" w:rsidRDefault="001E6B8E" w:rsidP="00E10B4F">
      <w:pPr>
        <w:spacing w:line="336" w:lineRule="auto"/>
        <w:ind w:firstLineChars="200" w:firstLine="640"/>
        <w:rPr>
          <w:rFonts w:ascii="仿宋_GB2312" w:hAnsi="仿宋"/>
          <w:bCs/>
          <w:sz w:val="32"/>
          <w:szCs w:val="32"/>
        </w:rPr>
      </w:pPr>
      <w:r>
        <w:rPr>
          <w:rFonts w:ascii="仿宋_GB2312" w:eastAsia="仿宋_GB2312" w:hAnsi="仿宋" w:hint="eastAsia"/>
          <w:bCs/>
          <w:sz w:val="32"/>
          <w:szCs w:val="32"/>
        </w:rPr>
        <w:t>对森林公园的近期、中远期建设目标和重点项目提出建议，并就近期建设项目进行梳理，形成近期项目库。</w:t>
      </w:r>
    </w:p>
    <w:p w:rsidR="00251A94" w:rsidRPr="00251A94" w:rsidRDefault="00251A94" w:rsidP="004A13D4">
      <w:pPr>
        <w:spacing w:line="336" w:lineRule="auto"/>
        <w:ind w:firstLineChars="200" w:firstLine="640"/>
        <w:rPr>
          <w:rFonts w:ascii="仿宋_GB2312" w:eastAsia="仿宋_GB2312" w:hAnsi="仿宋"/>
          <w:b/>
          <w:sz w:val="32"/>
          <w:szCs w:val="32"/>
        </w:rPr>
      </w:pPr>
      <w:r w:rsidRPr="00251A94">
        <w:rPr>
          <w:rFonts w:ascii="仿宋_GB2312" w:eastAsia="仿宋_GB2312" w:hAnsi="仿宋" w:hint="eastAsia"/>
          <w:b/>
          <w:sz w:val="32"/>
          <w:szCs w:val="32"/>
        </w:rPr>
        <w:t>（二）</w:t>
      </w:r>
      <w:bookmarkStart w:id="12" w:name="_GoBack"/>
      <w:r w:rsidR="001E6B8E">
        <w:rPr>
          <w:rFonts w:ascii="仿宋_GB2312" w:eastAsia="仿宋_GB2312" w:hAnsi="仿宋" w:hint="eastAsia"/>
          <w:b/>
          <w:sz w:val="32"/>
          <w:szCs w:val="32"/>
        </w:rPr>
        <w:t>广东</w:t>
      </w:r>
      <w:r w:rsidRPr="00251A94">
        <w:rPr>
          <w:rFonts w:ascii="仿宋_GB2312" w:eastAsia="仿宋_GB2312" w:hAnsi="仿宋" w:hint="eastAsia"/>
          <w:b/>
          <w:sz w:val="32"/>
          <w:szCs w:val="32"/>
        </w:rPr>
        <w:t>流溪河国家森林公园综合科学考察</w:t>
      </w:r>
    </w:p>
    <w:bookmarkEnd w:id="12"/>
    <w:p w:rsidR="00251A94" w:rsidRPr="00251A94" w:rsidRDefault="00251A94" w:rsidP="00251A94">
      <w:pPr>
        <w:spacing w:line="336" w:lineRule="auto"/>
        <w:ind w:firstLineChars="200" w:firstLine="640"/>
        <w:rPr>
          <w:rFonts w:ascii="仿宋_GB2312" w:eastAsia="仿宋_GB2312" w:hAnsi="仿宋"/>
          <w:bCs/>
          <w:sz w:val="32"/>
          <w:szCs w:val="32"/>
        </w:rPr>
      </w:pPr>
      <w:r w:rsidRPr="00251A94">
        <w:rPr>
          <w:rFonts w:ascii="仿宋_GB2312" w:eastAsia="仿宋_GB2312" w:hAnsi="仿宋" w:hint="eastAsia"/>
          <w:bCs/>
          <w:sz w:val="32"/>
          <w:szCs w:val="32"/>
        </w:rPr>
        <w:t>按照《自然保护区综合科学考察规程》（</w:t>
      </w:r>
      <w:proofErr w:type="gramStart"/>
      <w:r w:rsidRPr="00251A94">
        <w:rPr>
          <w:rFonts w:ascii="仿宋_GB2312" w:eastAsia="仿宋_GB2312" w:hAnsi="仿宋" w:hint="eastAsia"/>
          <w:bCs/>
          <w:sz w:val="32"/>
          <w:szCs w:val="32"/>
        </w:rPr>
        <w:t>环函</w:t>
      </w:r>
      <w:proofErr w:type="gramEnd"/>
      <w:r w:rsidRPr="00251A94">
        <w:rPr>
          <w:rFonts w:ascii="仿宋_GB2312" w:eastAsia="仿宋_GB2312" w:hAnsi="仿宋" w:hint="eastAsia"/>
          <w:bCs/>
          <w:sz w:val="32"/>
          <w:szCs w:val="32"/>
        </w:rPr>
        <w:t>[2010]139号）要求，查清自然保护区内生物多样性、自然地理环境、社会经济状况和威胁因素，完成资料收集、实地调查、数据处理分析、科学考察报告编写等工作，促进自然保护区的有效保护和科学管理。</w:t>
      </w:r>
    </w:p>
    <w:p w:rsidR="00251A94" w:rsidRPr="00251A94" w:rsidRDefault="00251A94" w:rsidP="00251A94">
      <w:pPr>
        <w:spacing w:after="156"/>
        <w:ind w:firstLineChars="200" w:firstLine="720"/>
        <w:rPr>
          <w:rFonts w:hAnsi="华文中宋" w:cs="Times New Roman"/>
          <w:sz w:val="36"/>
          <w:szCs w:val="36"/>
        </w:rPr>
      </w:pPr>
      <w:r w:rsidRPr="00251A94">
        <w:rPr>
          <w:rFonts w:hAnsi="华文中宋" w:cs="Times New Roman" w:hint="eastAsia"/>
          <w:sz w:val="36"/>
          <w:szCs w:val="36"/>
        </w:rPr>
        <w:t>七、成果验收</w:t>
      </w:r>
    </w:p>
    <w:p w:rsidR="00251A94" w:rsidRPr="00251A94" w:rsidRDefault="00251A94" w:rsidP="00251A94">
      <w:pPr>
        <w:spacing w:line="336" w:lineRule="auto"/>
        <w:ind w:firstLineChars="200" w:firstLine="640"/>
        <w:rPr>
          <w:rFonts w:ascii="仿宋_GB2312" w:eastAsia="仿宋_GB2312" w:hAnsi="仿宋"/>
          <w:bCs/>
          <w:sz w:val="32"/>
          <w:szCs w:val="32"/>
        </w:rPr>
      </w:pPr>
      <w:r w:rsidRPr="00251A94">
        <w:rPr>
          <w:rFonts w:ascii="仿宋_GB2312" w:eastAsia="仿宋_GB2312" w:hAnsi="仿宋" w:hint="eastAsia"/>
          <w:bCs/>
          <w:sz w:val="32"/>
          <w:szCs w:val="32"/>
        </w:rPr>
        <w:t>1、验收标准：经委托方、委托方主管局及专家认可，可用于上报相关部门审批的成果。</w:t>
      </w:r>
    </w:p>
    <w:p w:rsidR="00251A94" w:rsidRPr="00251A94" w:rsidRDefault="00251A94" w:rsidP="00251A94">
      <w:pPr>
        <w:spacing w:line="336" w:lineRule="auto"/>
        <w:ind w:firstLineChars="200" w:firstLine="640"/>
        <w:rPr>
          <w:rFonts w:ascii="仿宋_GB2312" w:eastAsia="仿宋_GB2312" w:hAnsi="仿宋"/>
          <w:bCs/>
          <w:sz w:val="32"/>
          <w:szCs w:val="32"/>
        </w:rPr>
      </w:pPr>
      <w:r w:rsidRPr="00251A94">
        <w:rPr>
          <w:rFonts w:ascii="仿宋_GB2312" w:eastAsia="仿宋_GB2312" w:hAnsi="仿宋" w:hint="eastAsia"/>
          <w:bCs/>
          <w:sz w:val="32"/>
          <w:szCs w:val="32"/>
        </w:rPr>
        <w:t>2、验收方式：以相关部门对成果批复为依据，由委托方、委托方主管局确定成果是否验收合格。</w:t>
      </w:r>
    </w:p>
    <w:p w:rsidR="00251A94" w:rsidRDefault="00251A94">
      <w:pPr>
        <w:spacing w:line="336" w:lineRule="auto"/>
        <w:ind w:firstLineChars="200" w:firstLine="640"/>
        <w:rPr>
          <w:rFonts w:ascii="仿宋_GB2312" w:eastAsia="仿宋_GB2312" w:hAnsi="仿宋"/>
          <w:bCs/>
          <w:sz w:val="32"/>
          <w:szCs w:val="32"/>
        </w:rPr>
      </w:pPr>
    </w:p>
    <w:p w:rsidR="00251A94" w:rsidRDefault="00251A94">
      <w:pPr>
        <w:pStyle w:val="2"/>
        <w:spacing w:line="336" w:lineRule="auto"/>
      </w:pPr>
    </w:p>
    <w:sectPr w:rsidR="00251A94" w:rsidSect="00251A94">
      <w:footerReference w:type="default" r:id="rId9"/>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BB7C4A2" w15:done="0"/>
  <w15:commentEx w15:paraId="4FB8F4DB" w15:done="0"/>
  <w15:commentEx w15:paraId="5FF5B80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A94" w:rsidRDefault="00251A94" w:rsidP="00251A94">
      <w:r>
        <w:separator/>
      </w:r>
    </w:p>
  </w:endnote>
  <w:endnote w:type="continuationSeparator" w:id="1">
    <w:p w:rsidR="00251A94" w:rsidRDefault="00251A94" w:rsidP="00251A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Arial Unicode MS"/>
    <w:charset w:val="86"/>
    <w:family w:val="auto"/>
    <w:pitch w:val="default"/>
    <w:sig w:usb0="00000000" w:usb1="080E0000" w:usb2="00000000" w:usb3="00000000" w:csb0="00040000" w:csb1="00000000"/>
  </w:font>
  <w:font w:name="TimesNewRomanPSMT">
    <w:altName w:val="Times New Roman"/>
    <w:charset w:val="00"/>
    <w:family w:val="roman"/>
    <w:pitch w:val="default"/>
    <w:sig w:usb0="00000000" w:usb1="00000000" w:usb2="00000000" w:usb3="00000000" w:csb0="00000000" w:csb1="00000000"/>
  </w:font>
  <w:font w:name="方正小标宋简体">
    <w:altName w:val="Arial Unicode MS"/>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258061"/>
    </w:sdtPr>
    <w:sdtContent>
      <w:p w:rsidR="00251A94" w:rsidRDefault="004A13D4">
        <w:pPr>
          <w:pStyle w:val="a5"/>
          <w:jc w:val="center"/>
        </w:pPr>
        <w:r>
          <w:fldChar w:fldCharType="begin"/>
        </w:r>
        <w:r w:rsidR="001E6B8E">
          <w:instrText>PAGE   \* MERGEFORMAT</w:instrText>
        </w:r>
        <w:r>
          <w:fldChar w:fldCharType="separate"/>
        </w:r>
        <w:r w:rsidR="00C864CF" w:rsidRPr="00C864CF">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A94" w:rsidRDefault="00251A94" w:rsidP="00251A94">
      <w:r>
        <w:separator/>
      </w:r>
    </w:p>
  </w:footnote>
  <w:footnote w:type="continuationSeparator" w:id="1">
    <w:p w:rsidR="00251A94" w:rsidRDefault="00251A94" w:rsidP="00251A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567873"/>
    <w:multiLevelType w:val="singleLevel"/>
    <w:tmpl w:val="D2567873"/>
    <w:lvl w:ilvl="0">
      <w:start w:val="1"/>
      <w:numFmt w:val="chineseCounting"/>
      <w:suff w:val="nothing"/>
      <w:lvlText w:val="（%1）"/>
      <w:lvlJc w:val="left"/>
      <w:rPr>
        <w:rFonts w:hint="eastAsia"/>
      </w:rPr>
    </w:lvl>
  </w:abstractNum>
  <w:abstractNum w:abstractNumId="1">
    <w:nsid w:val="3F4C7E25"/>
    <w:multiLevelType w:val="multilevel"/>
    <w:tmpl w:val="3F4C7E25"/>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even ">
    <w15:presenceInfo w15:providerId="WPS Office" w15:userId="3383375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1FF0"/>
    <w:rsid w:val="00016ADA"/>
    <w:rsid w:val="00020158"/>
    <w:rsid w:val="00036E83"/>
    <w:rsid w:val="0005081F"/>
    <w:rsid w:val="00061FF0"/>
    <w:rsid w:val="000621E4"/>
    <w:rsid w:val="000624CA"/>
    <w:rsid w:val="00065F43"/>
    <w:rsid w:val="00067BDB"/>
    <w:rsid w:val="00084E78"/>
    <w:rsid w:val="000907D0"/>
    <w:rsid w:val="000C04C3"/>
    <w:rsid w:val="000C2274"/>
    <w:rsid w:val="000C78F0"/>
    <w:rsid w:val="000D3978"/>
    <w:rsid w:val="000F0299"/>
    <w:rsid w:val="00102559"/>
    <w:rsid w:val="00105C0A"/>
    <w:rsid w:val="001228D6"/>
    <w:rsid w:val="00131E3C"/>
    <w:rsid w:val="001342D6"/>
    <w:rsid w:val="00134B78"/>
    <w:rsid w:val="00134DEE"/>
    <w:rsid w:val="001370B6"/>
    <w:rsid w:val="0014328A"/>
    <w:rsid w:val="00150F92"/>
    <w:rsid w:val="0016411A"/>
    <w:rsid w:val="00180C83"/>
    <w:rsid w:val="0019241C"/>
    <w:rsid w:val="00192743"/>
    <w:rsid w:val="001B61B7"/>
    <w:rsid w:val="001D53AA"/>
    <w:rsid w:val="001E0839"/>
    <w:rsid w:val="001E19D2"/>
    <w:rsid w:val="001E6B8E"/>
    <w:rsid w:val="001F7EB5"/>
    <w:rsid w:val="0021364C"/>
    <w:rsid w:val="00217A26"/>
    <w:rsid w:val="0022415F"/>
    <w:rsid w:val="00235BC1"/>
    <w:rsid w:val="002376BD"/>
    <w:rsid w:val="0025064D"/>
    <w:rsid w:val="00251A94"/>
    <w:rsid w:val="00261334"/>
    <w:rsid w:val="00266A71"/>
    <w:rsid w:val="0027483A"/>
    <w:rsid w:val="0028238D"/>
    <w:rsid w:val="002D68EC"/>
    <w:rsid w:val="00304531"/>
    <w:rsid w:val="00310B0F"/>
    <w:rsid w:val="003149D9"/>
    <w:rsid w:val="0031770F"/>
    <w:rsid w:val="0032758D"/>
    <w:rsid w:val="00330C0A"/>
    <w:rsid w:val="00336BB5"/>
    <w:rsid w:val="0034151B"/>
    <w:rsid w:val="003521CB"/>
    <w:rsid w:val="00352299"/>
    <w:rsid w:val="0035650F"/>
    <w:rsid w:val="003A1EC8"/>
    <w:rsid w:val="003D054B"/>
    <w:rsid w:val="003D483F"/>
    <w:rsid w:val="003D59B8"/>
    <w:rsid w:val="003E2158"/>
    <w:rsid w:val="003F486F"/>
    <w:rsid w:val="004150D2"/>
    <w:rsid w:val="004227C2"/>
    <w:rsid w:val="0042387D"/>
    <w:rsid w:val="00423E1B"/>
    <w:rsid w:val="00441895"/>
    <w:rsid w:val="00442B10"/>
    <w:rsid w:val="00444ED5"/>
    <w:rsid w:val="00444F05"/>
    <w:rsid w:val="00473A14"/>
    <w:rsid w:val="004759D5"/>
    <w:rsid w:val="0048532C"/>
    <w:rsid w:val="0049681D"/>
    <w:rsid w:val="004A13D4"/>
    <w:rsid w:val="004B09D0"/>
    <w:rsid w:val="004B40C5"/>
    <w:rsid w:val="004C23CF"/>
    <w:rsid w:val="004D4595"/>
    <w:rsid w:val="004D6E04"/>
    <w:rsid w:val="004E79E0"/>
    <w:rsid w:val="004F2545"/>
    <w:rsid w:val="00507D79"/>
    <w:rsid w:val="00517D58"/>
    <w:rsid w:val="005340DB"/>
    <w:rsid w:val="00535F08"/>
    <w:rsid w:val="005408E1"/>
    <w:rsid w:val="00542027"/>
    <w:rsid w:val="00550E28"/>
    <w:rsid w:val="005642FE"/>
    <w:rsid w:val="00566E9A"/>
    <w:rsid w:val="0057447B"/>
    <w:rsid w:val="0057671A"/>
    <w:rsid w:val="00587265"/>
    <w:rsid w:val="005A4779"/>
    <w:rsid w:val="005B1036"/>
    <w:rsid w:val="005C5C35"/>
    <w:rsid w:val="005E2AAB"/>
    <w:rsid w:val="005F24AB"/>
    <w:rsid w:val="005F599B"/>
    <w:rsid w:val="006250BE"/>
    <w:rsid w:val="00633048"/>
    <w:rsid w:val="00636679"/>
    <w:rsid w:val="0064066E"/>
    <w:rsid w:val="00653C45"/>
    <w:rsid w:val="00673BAB"/>
    <w:rsid w:val="006A1E4F"/>
    <w:rsid w:val="006A3C38"/>
    <w:rsid w:val="006A5A76"/>
    <w:rsid w:val="006B37D8"/>
    <w:rsid w:val="006B6473"/>
    <w:rsid w:val="006C50A4"/>
    <w:rsid w:val="006E7B9A"/>
    <w:rsid w:val="006F3C64"/>
    <w:rsid w:val="0070110E"/>
    <w:rsid w:val="00707B90"/>
    <w:rsid w:val="007369D9"/>
    <w:rsid w:val="00755168"/>
    <w:rsid w:val="007707B3"/>
    <w:rsid w:val="00771494"/>
    <w:rsid w:val="00785F0D"/>
    <w:rsid w:val="00790646"/>
    <w:rsid w:val="0079130B"/>
    <w:rsid w:val="007930F7"/>
    <w:rsid w:val="00794F8F"/>
    <w:rsid w:val="007A5485"/>
    <w:rsid w:val="007A762E"/>
    <w:rsid w:val="007A7E1B"/>
    <w:rsid w:val="007B7D17"/>
    <w:rsid w:val="007C26D2"/>
    <w:rsid w:val="007C2C46"/>
    <w:rsid w:val="007D4EDC"/>
    <w:rsid w:val="007E37E9"/>
    <w:rsid w:val="0080459E"/>
    <w:rsid w:val="008078E4"/>
    <w:rsid w:val="00820B64"/>
    <w:rsid w:val="00827F4E"/>
    <w:rsid w:val="00834F7B"/>
    <w:rsid w:val="008671B4"/>
    <w:rsid w:val="008902BB"/>
    <w:rsid w:val="00897A26"/>
    <w:rsid w:val="00897E13"/>
    <w:rsid w:val="008A7632"/>
    <w:rsid w:val="008C0F35"/>
    <w:rsid w:val="008D033A"/>
    <w:rsid w:val="008E450B"/>
    <w:rsid w:val="008E6E19"/>
    <w:rsid w:val="008F1A53"/>
    <w:rsid w:val="008F4E09"/>
    <w:rsid w:val="00940112"/>
    <w:rsid w:val="00952419"/>
    <w:rsid w:val="00962B2F"/>
    <w:rsid w:val="009818DF"/>
    <w:rsid w:val="00986D17"/>
    <w:rsid w:val="00996D12"/>
    <w:rsid w:val="009A1474"/>
    <w:rsid w:val="009B370D"/>
    <w:rsid w:val="009C6A47"/>
    <w:rsid w:val="00A01444"/>
    <w:rsid w:val="00A06372"/>
    <w:rsid w:val="00A17FC9"/>
    <w:rsid w:val="00A37708"/>
    <w:rsid w:val="00A40E37"/>
    <w:rsid w:val="00A61C2D"/>
    <w:rsid w:val="00A717D3"/>
    <w:rsid w:val="00A7323A"/>
    <w:rsid w:val="00A90E09"/>
    <w:rsid w:val="00A91104"/>
    <w:rsid w:val="00A968F3"/>
    <w:rsid w:val="00AA1669"/>
    <w:rsid w:val="00AA2D95"/>
    <w:rsid w:val="00AA7691"/>
    <w:rsid w:val="00AB5A2D"/>
    <w:rsid w:val="00AF5223"/>
    <w:rsid w:val="00B02899"/>
    <w:rsid w:val="00B05BD1"/>
    <w:rsid w:val="00B233EF"/>
    <w:rsid w:val="00B37049"/>
    <w:rsid w:val="00B63C9C"/>
    <w:rsid w:val="00B729B8"/>
    <w:rsid w:val="00B731CE"/>
    <w:rsid w:val="00B77250"/>
    <w:rsid w:val="00B827A0"/>
    <w:rsid w:val="00BA089B"/>
    <w:rsid w:val="00BC32D4"/>
    <w:rsid w:val="00BE68C4"/>
    <w:rsid w:val="00BE7716"/>
    <w:rsid w:val="00BF5BD7"/>
    <w:rsid w:val="00BF60BC"/>
    <w:rsid w:val="00BF6850"/>
    <w:rsid w:val="00C01E36"/>
    <w:rsid w:val="00C44FC5"/>
    <w:rsid w:val="00C51C49"/>
    <w:rsid w:val="00C538FD"/>
    <w:rsid w:val="00C57BDA"/>
    <w:rsid w:val="00C864CF"/>
    <w:rsid w:val="00C963E6"/>
    <w:rsid w:val="00C9699E"/>
    <w:rsid w:val="00CD3153"/>
    <w:rsid w:val="00CD6C9A"/>
    <w:rsid w:val="00CE238F"/>
    <w:rsid w:val="00CE5E81"/>
    <w:rsid w:val="00CE6BC5"/>
    <w:rsid w:val="00D0493A"/>
    <w:rsid w:val="00D04D82"/>
    <w:rsid w:val="00D10DC8"/>
    <w:rsid w:val="00D120D0"/>
    <w:rsid w:val="00D2092A"/>
    <w:rsid w:val="00D23C31"/>
    <w:rsid w:val="00D23C9C"/>
    <w:rsid w:val="00D30BB7"/>
    <w:rsid w:val="00D32C84"/>
    <w:rsid w:val="00D33555"/>
    <w:rsid w:val="00D53ED0"/>
    <w:rsid w:val="00D57F00"/>
    <w:rsid w:val="00D708A4"/>
    <w:rsid w:val="00DA41A3"/>
    <w:rsid w:val="00DB317F"/>
    <w:rsid w:val="00DD13E1"/>
    <w:rsid w:val="00DD7516"/>
    <w:rsid w:val="00DE575A"/>
    <w:rsid w:val="00DF6D4E"/>
    <w:rsid w:val="00E068E9"/>
    <w:rsid w:val="00E07A1E"/>
    <w:rsid w:val="00E10B4F"/>
    <w:rsid w:val="00E12C80"/>
    <w:rsid w:val="00E175A5"/>
    <w:rsid w:val="00E2321A"/>
    <w:rsid w:val="00E264E6"/>
    <w:rsid w:val="00E54997"/>
    <w:rsid w:val="00E63BC3"/>
    <w:rsid w:val="00E66924"/>
    <w:rsid w:val="00E67132"/>
    <w:rsid w:val="00E75BB6"/>
    <w:rsid w:val="00E80554"/>
    <w:rsid w:val="00E81329"/>
    <w:rsid w:val="00E95556"/>
    <w:rsid w:val="00EA0AEE"/>
    <w:rsid w:val="00EF38FE"/>
    <w:rsid w:val="00F032C4"/>
    <w:rsid w:val="00F0632F"/>
    <w:rsid w:val="00F16BCE"/>
    <w:rsid w:val="00F251F4"/>
    <w:rsid w:val="00F30966"/>
    <w:rsid w:val="00F33EB5"/>
    <w:rsid w:val="00F3788A"/>
    <w:rsid w:val="00F54A46"/>
    <w:rsid w:val="00F576F8"/>
    <w:rsid w:val="00F70766"/>
    <w:rsid w:val="00F96A27"/>
    <w:rsid w:val="00FA438E"/>
    <w:rsid w:val="00FB3842"/>
    <w:rsid w:val="00FC28FF"/>
    <w:rsid w:val="00FD3200"/>
    <w:rsid w:val="00FD6590"/>
    <w:rsid w:val="2A4A7499"/>
    <w:rsid w:val="7F3F1A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A94"/>
    <w:pPr>
      <w:widowControl w:val="0"/>
      <w:jc w:val="both"/>
    </w:pPr>
    <w:rPr>
      <w:kern w:val="2"/>
      <w:sz w:val="21"/>
      <w:szCs w:val="22"/>
    </w:rPr>
  </w:style>
  <w:style w:type="paragraph" w:styleId="1">
    <w:name w:val="heading 1"/>
    <w:basedOn w:val="a"/>
    <w:next w:val="a"/>
    <w:link w:val="1Char"/>
    <w:uiPriority w:val="9"/>
    <w:qFormat/>
    <w:rsid w:val="00251A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51A94"/>
    <w:pPr>
      <w:spacing w:line="300" w:lineRule="auto"/>
      <w:ind w:firstLineChars="200" w:firstLine="562"/>
      <w:outlineLvl w:val="1"/>
    </w:pPr>
    <w:rPr>
      <w:rFonts w:ascii="仿宋" w:eastAsia="仿宋" w:hAnsi="仿宋"/>
      <w:b/>
      <w:sz w:val="28"/>
      <w:szCs w:val="28"/>
    </w:rPr>
  </w:style>
  <w:style w:type="paragraph" w:styleId="3">
    <w:name w:val="heading 3"/>
    <w:basedOn w:val="a"/>
    <w:next w:val="a"/>
    <w:link w:val="3Char"/>
    <w:uiPriority w:val="9"/>
    <w:semiHidden/>
    <w:unhideWhenUsed/>
    <w:qFormat/>
    <w:rsid w:val="00251A9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251A94"/>
    <w:pPr>
      <w:jc w:val="left"/>
    </w:pPr>
  </w:style>
  <w:style w:type="paragraph" w:styleId="a4">
    <w:name w:val="Balloon Text"/>
    <w:basedOn w:val="a"/>
    <w:link w:val="Char0"/>
    <w:uiPriority w:val="99"/>
    <w:semiHidden/>
    <w:unhideWhenUsed/>
    <w:rsid w:val="00251A94"/>
    <w:rPr>
      <w:sz w:val="18"/>
      <w:szCs w:val="18"/>
    </w:rPr>
  </w:style>
  <w:style w:type="paragraph" w:styleId="a5">
    <w:name w:val="footer"/>
    <w:basedOn w:val="a"/>
    <w:link w:val="Char1"/>
    <w:uiPriority w:val="99"/>
    <w:unhideWhenUsed/>
    <w:rsid w:val="00251A94"/>
    <w:pPr>
      <w:tabs>
        <w:tab w:val="center" w:pos="4153"/>
        <w:tab w:val="right" w:pos="8306"/>
      </w:tabs>
      <w:snapToGrid w:val="0"/>
      <w:jc w:val="left"/>
    </w:pPr>
    <w:rPr>
      <w:sz w:val="18"/>
      <w:szCs w:val="18"/>
    </w:rPr>
  </w:style>
  <w:style w:type="paragraph" w:styleId="a6">
    <w:name w:val="header"/>
    <w:basedOn w:val="a"/>
    <w:link w:val="Char2"/>
    <w:uiPriority w:val="99"/>
    <w:unhideWhenUsed/>
    <w:rsid w:val="00251A94"/>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rsid w:val="00251A94"/>
    <w:pPr>
      <w:tabs>
        <w:tab w:val="right" w:leader="dot" w:pos="8296"/>
      </w:tabs>
      <w:spacing w:line="360" w:lineRule="auto"/>
    </w:pPr>
    <w:rPr>
      <w:rFonts w:ascii="黑体" w:eastAsia="黑体" w:hAnsi="华文中宋"/>
      <w:b/>
      <w:sz w:val="28"/>
      <w:szCs w:val="28"/>
    </w:rPr>
  </w:style>
  <w:style w:type="paragraph" w:styleId="20">
    <w:name w:val="toc 2"/>
    <w:basedOn w:val="a"/>
    <w:next w:val="a"/>
    <w:autoRedefine/>
    <w:uiPriority w:val="39"/>
    <w:unhideWhenUsed/>
    <w:rsid w:val="00251A94"/>
    <w:pPr>
      <w:ind w:leftChars="200" w:left="420"/>
    </w:pPr>
  </w:style>
  <w:style w:type="paragraph" w:styleId="a7">
    <w:name w:val="annotation subject"/>
    <w:basedOn w:val="a3"/>
    <w:next w:val="a3"/>
    <w:link w:val="Char3"/>
    <w:uiPriority w:val="99"/>
    <w:semiHidden/>
    <w:unhideWhenUsed/>
    <w:rsid w:val="00251A94"/>
    <w:rPr>
      <w:b/>
      <w:bCs/>
    </w:rPr>
  </w:style>
  <w:style w:type="table" w:styleId="a8">
    <w:name w:val="Table Grid"/>
    <w:basedOn w:val="a1"/>
    <w:uiPriority w:val="39"/>
    <w:rsid w:val="00251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51A94"/>
    <w:rPr>
      <w:color w:val="0563C1" w:themeColor="hyperlink"/>
      <w:u w:val="single"/>
    </w:rPr>
  </w:style>
  <w:style w:type="character" w:styleId="aa">
    <w:name w:val="annotation reference"/>
    <w:basedOn w:val="a0"/>
    <w:uiPriority w:val="99"/>
    <w:semiHidden/>
    <w:unhideWhenUsed/>
    <w:rsid w:val="00251A94"/>
    <w:rPr>
      <w:sz w:val="21"/>
      <w:szCs w:val="21"/>
    </w:rPr>
  </w:style>
  <w:style w:type="paragraph" w:customStyle="1" w:styleId="Ab">
    <w:name w:val="正文 A"/>
    <w:uiPriority w:val="99"/>
    <w:qFormat/>
    <w:rsid w:val="00251A94"/>
    <w:pPr>
      <w:widowControl w:val="0"/>
      <w:jc w:val="both"/>
    </w:pPr>
    <w:rPr>
      <w:rFonts w:ascii="Times New Roman" w:eastAsia="宋体" w:hAnsi="Times New Roman" w:cs="Arial Unicode MS"/>
      <w:color w:val="000000"/>
      <w:kern w:val="2"/>
      <w:sz w:val="21"/>
      <w:szCs w:val="21"/>
      <w:u w:color="000000"/>
    </w:rPr>
  </w:style>
  <w:style w:type="paragraph" w:customStyle="1" w:styleId="11">
    <w:name w:val="样式 标题 1 + 黑体 四号 非加粗"/>
    <w:basedOn w:val="1"/>
    <w:qFormat/>
    <w:rsid w:val="00251A94"/>
    <w:pPr>
      <w:keepNext w:val="0"/>
      <w:keepLines w:val="0"/>
      <w:spacing w:line="576" w:lineRule="auto"/>
    </w:pPr>
    <w:rPr>
      <w:rFonts w:ascii="黑体" w:eastAsia="黑体" w:hAnsi="黑体"/>
      <w:b w:val="0"/>
      <w:bCs w:val="0"/>
      <w:sz w:val="28"/>
    </w:rPr>
  </w:style>
  <w:style w:type="character" w:customStyle="1" w:styleId="1Char">
    <w:name w:val="标题 1 Char"/>
    <w:basedOn w:val="a0"/>
    <w:link w:val="1"/>
    <w:uiPriority w:val="9"/>
    <w:rsid w:val="00251A94"/>
    <w:rPr>
      <w:b/>
      <w:bCs/>
      <w:kern w:val="44"/>
      <w:sz w:val="44"/>
      <w:szCs w:val="44"/>
    </w:rPr>
  </w:style>
  <w:style w:type="character" w:customStyle="1" w:styleId="fontstyle01">
    <w:name w:val="fontstyle01"/>
    <w:basedOn w:val="a0"/>
    <w:rsid w:val="00251A94"/>
    <w:rPr>
      <w:rFonts w:ascii="仿宋_GB2312" w:eastAsia="仿宋_GB2312" w:hint="eastAsia"/>
      <w:color w:val="000000"/>
      <w:sz w:val="32"/>
      <w:szCs w:val="32"/>
    </w:rPr>
  </w:style>
  <w:style w:type="character" w:customStyle="1" w:styleId="fontstyle21">
    <w:name w:val="fontstyle21"/>
    <w:basedOn w:val="a0"/>
    <w:rsid w:val="00251A94"/>
    <w:rPr>
      <w:rFonts w:ascii="TimesNewRomanPSMT" w:hAnsi="TimesNewRomanPSMT" w:hint="default"/>
      <w:color w:val="000000"/>
      <w:sz w:val="32"/>
      <w:szCs w:val="32"/>
    </w:rPr>
  </w:style>
  <w:style w:type="character" w:customStyle="1" w:styleId="2Char">
    <w:name w:val="标题 2 Char"/>
    <w:basedOn w:val="a0"/>
    <w:link w:val="2"/>
    <w:uiPriority w:val="9"/>
    <w:rsid w:val="00251A94"/>
    <w:rPr>
      <w:rFonts w:ascii="仿宋" w:eastAsia="仿宋" w:hAnsi="仿宋"/>
      <w:b/>
      <w:sz w:val="28"/>
      <w:szCs w:val="28"/>
    </w:rPr>
  </w:style>
  <w:style w:type="character" w:customStyle="1" w:styleId="Char2">
    <w:name w:val="页眉 Char"/>
    <w:basedOn w:val="a0"/>
    <w:link w:val="a6"/>
    <w:uiPriority w:val="99"/>
    <w:rsid w:val="00251A94"/>
    <w:rPr>
      <w:sz w:val="18"/>
      <w:szCs w:val="18"/>
    </w:rPr>
  </w:style>
  <w:style w:type="character" w:customStyle="1" w:styleId="Char1">
    <w:name w:val="页脚 Char"/>
    <w:basedOn w:val="a0"/>
    <w:link w:val="a5"/>
    <w:uiPriority w:val="99"/>
    <w:rsid w:val="00251A94"/>
    <w:rPr>
      <w:sz w:val="18"/>
      <w:szCs w:val="18"/>
    </w:rPr>
  </w:style>
  <w:style w:type="character" w:customStyle="1" w:styleId="Char">
    <w:name w:val="批注文字 Char"/>
    <w:basedOn w:val="a0"/>
    <w:link w:val="a3"/>
    <w:uiPriority w:val="99"/>
    <w:semiHidden/>
    <w:rsid w:val="00251A94"/>
  </w:style>
  <w:style w:type="character" w:customStyle="1" w:styleId="Char3">
    <w:name w:val="批注主题 Char"/>
    <w:basedOn w:val="Char"/>
    <w:link w:val="a7"/>
    <w:uiPriority w:val="99"/>
    <w:semiHidden/>
    <w:rsid w:val="00251A94"/>
    <w:rPr>
      <w:b/>
      <w:bCs/>
    </w:rPr>
  </w:style>
  <w:style w:type="character" w:customStyle="1" w:styleId="Char0">
    <w:name w:val="批注框文本 Char"/>
    <w:basedOn w:val="a0"/>
    <w:link w:val="a4"/>
    <w:uiPriority w:val="99"/>
    <w:semiHidden/>
    <w:rsid w:val="00251A94"/>
    <w:rPr>
      <w:sz w:val="18"/>
      <w:szCs w:val="18"/>
    </w:rPr>
  </w:style>
  <w:style w:type="paragraph" w:styleId="ac">
    <w:name w:val="List Paragraph"/>
    <w:basedOn w:val="a"/>
    <w:uiPriority w:val="34"/>
    <w:qFormat/>
    <w:rsid w:val="00251A94"/>
    <w:pPr>
      <w:ind w:firstLineChars="200" w:firstLine="420"/>
    </w:pPr>
  </w:style>
  <w:style w:type="paragraph" w:customStyle="1" w:styleId="12">
    <w:name w:val="修订1"/>
    <w:hidden/>
    <w:uiPriority w:val="99"/>
    <w:semiHidden/>
    <w:rsid w:val="00251A94"/>
    <w:rPr>
      <w:kern w:val="2"/>
      <w:sz w:val="21"/>
      <w:szCs w:val="22"/>
    </w:rPr>
  </w:style>
  <w:style w:type="character" w:customStyle="1" w:styleId="3Char">
    <w:name w:val="标题 3 Char"/>
    <w:basedOn w:val="a0"/>
    <w:link w:val="3"/>
    <w:uiPriority w:val="9"/>
    <w:semiHidden/>
    <w:rsid w:val="00251A94"/>
    <w:rPr>
      <w:b/>
      <w:bCs/>
      <w:sz w:val="32"/>
      <w:szCs w:val="32"/>
    </w:rPr>
  </w:style>
  <w:style w:type="paragraph" w:styleId="ad">
    <w:name w:val="Document Map"/>
    <w:basedOn w:val="a"/>
    <w:link w:val="Char4"/>
    <w:uiPriority w:val="99"/>
    <w:semiHidden/>
    <w:unhideWhenUsed/>
    <w:rsid w:val="00E10B4F"/>
    <w:rPr>
      <w:rFonts w:ascii="宋体" w:eastAsia="宋体"/>
      <w:sz w:val="18"/>
      <w:szCs w:val="18"/>
    </w:rPr>
  </w:style>
  <w:style w:type="character" w:customStyle="1" w:styleId="Char4">
    <w:name w:val="文档结构图 Char"/>
    <w:basedOn w:val="a0"/>
    <w:link w:val="ad"/>
    <w:uiPriority w:val="99"/>
    <w:semiHidden/>
    <w:rsid w:val="00E10B4F"/>
    <w:rPr>
      <w:rFonts w:ascii="宋体"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9EFA8-DC9F-4345-8498-08593713266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667</Words>
  <Characters>3804</Characters>
  <Application>Microsoft Office Word</Application>
  <DocSecurity>0</DocSecurity>
  <Lines>31</Lines>
  <Paragraphs>8</Paragraphs>
  <ScaleCrop>false</ScaleCrop>
  <Company>WIN10</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gz</cp:lastModifiedBy>
  <cp:revision>7</cp:revision>
  <cp:lastPrinted>2024-05-20T13:59:00Z</cp:lastPrinted>
  <dcterms:created xsi:type="dcterms:W3CDTF">2025-05-19T08:54:00Z</dcterms:created>
  <dcterms:modified xsi:type="dcterms:W3CDTF">2025-06-16T09:02:00Z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eyJoZGlkIjoiOWY2OWI1ODQyNjEyZDkwYjdiYTM0YTE1MjllZjQyZjAiLCJ1c2VySWQiOiIyMDMyMjU4NzEifQ==</vt:lpwstr>
  </property>
  <property fmtid="{D5CDD505-2E9C-101B-9397-08002B2CF9AE}" pid="3" name="KSOProductBuildVer">
    <vt:lpwstr>2052-12.1.0.21171</vt:lpwstr>
  </property>
  <property fmtid="{D5CDD505-2E9C-101B-9397-08002B2CF9AE}" pid="4" name="ICV">
    <vt:lpwstr>77275DFEDBA24CA8A4196D1876CDEA1B_12</vt:lpwstr>
  </property>
</Properties>
</file>